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0"/>
      </w:pPr>
    </w:p>
    <w:p>
      <w:pPr>
        <w:spacing w:after="100"/>
        <w:jc w:val="center"/>
      </w:pPr>
      <w:r>
        <w:rPr>
          <w:rFonts w:ascii="Calibri" w:cs="Calibri" w:eastAsia="Calibri" w:hAnsi="Calibri"/>
          <w:b/>
          <w:bCs/>
          <w:color w:val="595959"/>
          <w:sz w:val="24"/>
          <w:szCs w:val="24"/>
        </w:rPr>
        <w:t xml:space="preserve">PERFORMANS GÖREVİ RAPORU</w:t>
      </w:r>
    </w:p>
    <w:p>
      <w:pPr>
        <w:shd w:fill="1F3864" w:color="auto" w:val="clear"/>
        <w:spacing w:after="100" w:before="200"/>
        <w:jc w:val="center"/>
      </w:pPr>
      <w:r>
        <w:rPr>
          <w:rFonts w:ascii="Calibri" w:cs="Calibri" w:eastAsia="Calibri" w:hAnsi="Calibri"/>
          <w:b/>
          <w:bCs/>
          <w:color w:val="FFFFFF"/>
          <w:sz w:val="52"/>
          <w:szCs w:val="52"/>
        </w:rPr>
        <w:t xml:space="preserve">ENERJİ BİÇİMLERİ</w:t>
      </w:r>
    </w:p>
    <w:p>
      <w:pPr>
        <w:spacing w:after="700" w:before="200"/>
        <w:jc w:val="center"/>
      </w:pPr>
      <w:r>
        <w:rPr>
          <w:rFonts w:ascii="Calibri" w:cs="Calibri" w:eastAsia="Calibri" w:hAnsi="Calibri"/>
          <w:i/>
          <w:iCs/>
          <w:color w:val="1F3864"/>
          <w:sz w:val="26"/>
          <w:szCs w:val="26"/>
        </w:rPr>
        <w:t xml:space="preserve">Ceyhan / Adana Bölgesinde Kullanılan Enerji Kaynaklarına Yönelik Rapor</w:t>
      </w:r>
    </w:p>
    <w:p>
      <w:pPr>
        <w:spacing w:after="700"/>
        <w:jc w:val="center"/>
      </w:pPr>
      <w:r>
        <w:drawing>
          <wp:inline distT="0" distB="0" distL="0" distR="0">
            <wp:extent cx="4095750" cy="2667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095750" cy="2667000"/>
                    </a:xfrm>
                    <a:prstGeom prst="rect">
                      <a:avLst/>
                    </a:prstGeom>
                  </pic:spPr>
                </pic:pic>
              </a:graphicData>
            </a:graphic>
          </wp:inline>
        </w:drawing>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200"/>
        <w:gridCol w:w="7150"/>
      </w:tblGrid>
      <w:tr>
        <w:tc>
          <w:tcPr>
            <w:tcW w:type="dxa" w:w="2200"/>
            <w:shd w:fill="F2DCE7" w:color="auto" w:val="clear"/>
            <w:tcMar>
              <w:top w:type="dxa" w:w="80"/>
              <w:left w:type="dxa" w:w="100"/>
              <w:bottom w:type="dxa" w:w="80"/>
              <w:right w:type="dxa" w:w="100"/>
            </w:tcMar>
            <w:vAlign w:val="center"/>
          </w:tcPr>
          <w:p>
            <w:pPr>
              <w:jc w:val="left"/>
            </w:pPr>
            <w:r>
              <w:rPr>
                <w:rFonts w:ascii="Calibri" w:cs="Calibri" w:eastAsia="Calibri" w:hAnsi="Calibri"/>
                <w:b/>
                <w:bCs/>
                <w:i w:val="false"/>
                <w:iCs w:val="false"/>
                <w:color w:val="000000"/>
                <w:sz w:val="20"/>
                <w:szCs w:val="20"/>
              </w:rPr>
              <w:t xml:space="preserve">Adı</w:t>
            </w:r>
          </w:p>
        </w:tc>
        <w:tc>
          <w:tcPr>
            <w:tcW w:type="dxa" w:w="7150"/>
            <w:tcMar>
              <w:top w:type="dxa" w:w="80"/>
              <w:left w:type="dxa" w:w="100"/>
              <w:bottom w:type="dxa" w:w="80"/>
              <w:right w:type="dxa" w:w="100"/>
            </w:tcMar>
            <w:vAlign w:val="center"/>
          </w:tcPr>
          <w:p>
            <w:pPr>
              <w:jc w:val="left"/>
            </w:pPr>
            <w:r>
              <w:rPr>
                <w:rFonts w:ascii="Calibri" w:cs="Calibri" w:eastAsia="Calibri" w:hAnsi="Calibri"/>
                <w:b w:val="false"/>
                <w:bCs w:val="false"/>
                <w:i w:val="false"/>
                <w:iCs w:val="false"/>
                <w:color w:val="000000"/>
                <w:sz w:val="20"/>
                <w:szCs w:val="20"/>
              </w:rPr>
              <w:t xml:space="preserve">ENERJİ BİÇİMLERİ</w:t>
            </w:r>
          </w:p>
        </w:tc>
      </w:tr>
      <w:tr>
        <w:tc>
          <w:tcPr>
            <w:tcW w:type="dxa" w:w="2200"/>
            <w:shd w:fill="F2DCE7" w:color="auto" w:val="clear"/>
            <w:tcMar>
              <w:top w:type="dxa" w:w="80"/>
              <w:left w:type="dxa" w:w="100"/>
              <w:bottom w:type="dxa" w:w="80"/>
              <w:right w:type="dxa" w:w="100"/>
            </w:tcMar>
            <w:vAlign w:val="center"/>
          </w:tcPr>
          <w:p>
            <w:pPr>
              <w:jc w:val="left"/>
            </w:pPr>
            <w:r>
              <w:rPr>
                <w:rFonts w:ascii="Calibri" w:cs="Calibri" w:eastAsia="Calibri" w:hAnsi="Calibri"/>
                <w:b/>
                <w:bCs/>
                <w:i w:val="false"/>
                <w:iCs w:val="false"/>
                <w:color w:val="000000"/>
                <w:sz w:val="20"/>
                <w:szCs w:val="20"/>
              </w:rPr>
              <w:t xml:space="preserve">Beklenen Performans</w:t>
            </w:r>
          </w:p>
        </w:tc>
        <w:tc>
          <w:tcPr>
            <w:tcW w:type="dxa" w:w="7150"/>
            <w:tcMar>
              <w:top w:type="dxa" w:w="80"/>
              <w:left w:type="dxa" w:w="100"/>
              <w:bottom w:type="dxa" w:w="80"/>
              <w:right w:type="dxa" w:w="100"/>
            </w:tcMar>
            <w:vAlign w:val="center"/>
          </w:tcPr>
          <w:p>
            <w:pPr>
              <w:jc w:val="left"/>
            </w:pPr>
            <w:r>
              <w:rPr>
                <w:rFonts w:ascii="Calibri" w:cs="Calibri" w:eastAsia="Calibri" w:hAnsi="Calibri"/>
                <w:b w:val="false"/>
                <w:bCs w:val="false"/>
                <w:i w:val="false"/>
                <w:iCs w:val="false"/>
                <w:color w:val="000000"/>
                <w:sz w:val="20"/>
                <w:szCs w:val="20"/>
              </w:rPr>
              <w:t xml:space="preserve">Enerji kaynaklarına yönelik rapor hazırlama</w:t>
            </w:r>
          </w:p>
        </w:tc>
      </w:tr>
      <w:tr>
        <w:tc>
          <w:tcPr>
            <w:tcW w:type="dxa" w:w="2200"/>
            <w:shd w:fill="F2DCE7" w:color="auto" w:val="clear"/>
            <w:tcMar>
              <w:top w:type="dxa" w:w="80"/>
              <w:left w:type="dxa" w:w="100"/>
              <w:bottom w:type="dxa" w:w="80"/>
              <w:right w:type="dxa" w:w="100"/>
            </w:tcMar>
            <w:vAlign w:val="center"/>
          </w:tcPr>
          <w:p>
            <w:pPr>
              <w:jc w:val="left"/>
            </w:pPr>
            <w:r>
              <w:rPr>
                <w:rFonts w:ascii="Calibri" w:cs="Calibri" w:eastAsia="Calibri" w:hAnsi="Calibri"/>
                <w:b/>
                <w:bCs/>
                <w:i w:val="false"/>
                <w:iCs w:val="false"/>
                <w:color w:val="000000"/>
                <w:sz w:val="20"/>
                <w:szCs w:val="20"/>
              </w:rPr>
              <w:t xml:space="preserve">Süre</w:t>
            </w:r>
          </w:p>
        </w:tc>
        <w:tc>
          <w:tcPr>
            <w:tcW w:type="dxa" w:w="7150"/>
            <w:tcMar>
              <w:top w:type="dxa" w:w="80"/>
              <w:left w:type="dxa" w:w="100"/>
              <w:bottom w:type="dxa" w:w="80"/>
              <w:right w:type="dxa" w:w="100"/>
            </w:tcMar>
            <w:vAlign w:val="center"/>
          </w:tcPr>
          <w:p>
            <w:pPr>
              <w:jc w:val="left"/>
            </w:pPr>
            <w:r>
              <w:rPr>
                <w:rFonts w:ascii="Calibri" w:cs="Calibri" w:eastAsia="Calibri" w:hAnsi="Calibri"/>
                <w:b w:val="false"/>
                <w:bCs w:val="false"/>
                <w:i w:val="false"/>
                <w:iCs w:val="false"/>
                <w:color w:val="000000"/>
                <w:sz w:val="20"/>
                <w:szCs w:val="20"/>
              </w:rPr>
              <w:t xml:space="preserve">1 hafta</w:t>
            </w:r>
          </w:p>
        </w:tc>
      </w:tr>
      <w:tr>
        <w:tc>
          <w:tcPr>
            <w:tcW w:type="dxa" w:w="2200"/>
            <w:shd w:fill="F2DCE7" w:color="auto" w:val="clear"/>
            <w:tcMar>
              <w:top w:type="dxa" w:w="80"/>
              <w:left w:type="dxa" w:w="100"/>
              <w:bottom w:type="dxa" w:w="80"/>
              <w:right w:type="dxa" w:w="100"/>
            </w:tcMar>
            <w:vAlign w:val="center"/>
          </w:tcPr>
          <w:p>
            <w:pPr>
              <w:jc w:val="left"/>
            </w:pPr>
            <w:r>
              <w:rPr>
                <w:rFonts w:ascii="Calibri" w:cs="Calibri" w:eastAsia="Calibri" w:hAnsi="Calibri"/>
                <w:b/>
                <w:bCs/>
                <w:i w:val="false"/>
                <w:iCs w:val="false"/>
                <w:color w:val="000000"/>
                <w:sz w:val="20"/>
                <w:szCs w:val="20"/>
              </w:rPr>
              <w:t xml:space="preserve">Değerlendirme</w:t>
            </w:r>
          </w:p>
        </w:tc>
        <w:tc>
          <w:tcPr>
            <w:tcW w:type="dxa" w:w="7150"/>
            <w:tcMar>
              <w:top w:type="dxa" w:w="80"/>
              <w:left w:type="dxa" w:w="100"/>
              <w:bottom w:type="dxa" w:w="80"/>
              <w:right w:type="dxa" w:w="100"/>
            </w:tcMar>
            <w:vAlign w:val="center"/>
          </w:tcPr>
          <w:p>
            <w:pPr>
              <w:jc w:val="left"/>
            </w:pPr>
            <w:r>
              <w:rPr>
                <w:rFonts w:ascii="Calibri" w:cs="Calibri" w:eastAsia="Calibri" w:hAnsi="Calibri"/>
                <w:b w:val="false"/>
                <w:bCs w:val="false"/>
                <w:i w:val="false"/>
                <w:iCs w:val="false"/>
                <w:color w:val="000000"/>
                <w:sz w:val="20"/>
                <w:szCs w:val="20"/>
              </w:rPr>
              <w:t xml:space="preserve">Dereceli Puanlama Anahtarı</w:t>
            </w:r>
          </w:p>
        </w:tc>
      </w:tr>
      <w:tr>
        <w:tc>
          <w:tcPr>
            <w:tcW w:type="dxa" w:w="2200"/>
            <w:shd w:fill="F2DCE7" w:color="auto" w:val="clear"/>
            <w:tcMar>
              <w:top w:type="dxa" w:w="80"/>
              <w:left w:type="dxa" w:w="100"/>
              <w:bottom w:type="dxa" w:w="80"/>
              <w:right w:type="dxa" w:w="100"/>
            </w:tcMar>
            <w:vAlign w:val="center"/>
          </w:tcPr>
          <w:p>
            <w:pPr>
              <w:jc w:val="left"/>
            </w:pPr>
            <w:r>
              <w:rPr>
                <w:rFonts w:ascii="Calibri" w:cs="Calibri" w:eastAsia="Calibri" w:hAnsi="Calibri"/>
                <w:b/>
                <w:bCs/>
                <w:i w:val="false"/>
                <w:iCs w:val="false"/>
                <w:color w:val="000000"/>
                <w:sz w:val="20"/>
                <w:szCs w:val="20"/>
              </w:rPr>
              <w:t xml:space="preserve">İncelenen Bölge</w:t>
            </w:r>
          </w:p>
        </w:tc>
        <w:tc>
          <w:tcPr>
            <w:tcW w:type="dxa" w:w="7150"/>
            <w:tcMar>
              <w:top w:type="dxa" w:w="80"/>
              <w:left w:type="dxa" w:w="100"/>
              <w:bottom w:type="dxa" w:w="80"/>
              <w:right w:type="dxa" w:w="100"/>
            </w:tcMar>
            <w:vAlign w:val="center"/>
          </w:tcPr>
          <w:p>
            <w:pPr>
              <w:jc w:val="left"/>
            </w:pPr>
            <w:r>
              <w:rPr>
                <w:rFonts w:ascii="Calibri" w:cs="Calibri" w:eastAsia="Calibri" w:hAnsi="Calibri"/>
                <w:b w:val="false"/>
                <w:bCs w:val="false"/>
                <w:i w:val="false"/>
                <w:iCs w:val="false"/>
                <w:color w:val="000000"/>
                <w:sz w:val="20"/>
                <w:szCs w:val="20"/>
              </w:rPr>
              <w:t xml:space="preserve">Ceyhan İlçesi / Adana İli</w:t>
            </w:r>
          </w:p>
        </w:tc>
      </w:tr>
    </w:tbl>
    <w:p>
      <w:r>
        <w:br w:type="page"/>
      </w:r>
    </w:p>
    <w:p>
      <w:pPr>
        <w:shd w:fill="1F3864" w:color="auto" w:val="clear"/>
        <w:spacing w:after="240"/>
        <w:jc w:val="center"/>
      </w:pPr>
      <w:r>
        <w:rPr>
          <w:rFonts w:ascii="Calibri" w:cs="Calibri" w:eastAsia="Calibri" w:hAnsi="Calibri"/>
          <w:b/>
          <w:bCs/>
          <w:color w:val="FFFFFF"/>
          <w:sz w:val="30"/>
          <w:szCs w:val="30"/>
        </w:rPr>
        <w:t xml:space="preserve">ANA BÖLÜM (İÇERİK)</w:t>
      </w:r>
    </w:p>
    <w:p>
      <w:pPr>
        <w:pBdr>
          <w:bottom w:val="single" w:color="1F3864" w:sz="14" w:space="5"/>
        </w:pBdr>
        <w:spacing w:after="140" w:before="300"/>
      </w:pPr>
      <w:r>
        <w:rPr>
          <w:rFonts w:ascii="Calibri" w:cs="Calibri" w:eastAsia="Calibri" w:hAnsi="Calibri"/>
          <w:b/>
          <w:bCs/>
          <w:color w:val="1F3864"/>
          <w:sz w:val="28"/>
          <w:szCs w:val="28"/>
        </w:rPr>
        <w:t xml:space="preserve">1. Giriş: Bölgenin Coğrafi Özellikleri</w:t>
      </w:r>
    </w:p>
    <w:p>
      <w:pPr>
        <w:spacing w:after="140"/>
        <w:jc w:val="both"/>
      </w:pPr>
      <w:r>
        <w:rPr>
          <w:rFonts w:ascii="Calibri" w:cs="Calibri" w:eastAsia="Calibri" w:hAnsi="Calibri"/>
          <w:color w:val="262626"/>
          <w:sz w:val="21"/>
          <w:szCs w:val="21"/>
        </w:rPr>
        <w:t xml:space="preserve">Ceyhan, Adana ilinin Akdeniz kıyısında yer alan, Ceyhan Nehri'nin denize döküldüğü verimli bir ovada kurulmuş bir ilçedir. Bölge; geniş tarım arazileri, akarsu ağı, uzun güneşlenme süresi ve kıyı şeridiyle farklı enerji kaynaklarının bir arada değerlendirilebildiği nadir bölgelerden biridir. Ayrıca Ceyhan, Basra Körfezi ve Hazar havzasından gelen ham petrolün Akdeniz'e ulaştığı uluslararası boru hatlarının bitiş noktası olması nedeniyle Türkiye'nin en önemli enerji terminallerinden birine ev sahipliği yapmaktadır.</w:t>
      </w:r>
    </w:p>
    <w:p>
      <w:pPr>
        <w:spacing w:after="140"/>
        <w:jc w:val="both"/>
      </w:pPr>
      <w:r>
        <w:rPr>
          <w:rFonts w:ascii="Calibri" w:cs="Calibri" w:eastAsia="Calibri" w:hAnsi="Calibri"/>
          <w:color w:val="262626"/>
          <w:sz w:val="21"/>
          <w:szCs w:val="21"/>
        </w:rPr>
        <w:t xml:space="preserve">Bu coğrafi çeşitlilik sayesinde Ceyhan ve çevresinde hem yenilenebilir (hidroelektrik, güneş, rüzgâr, biyokütle) hem de yenilenemeyen (kömür, petrol, doğal gaz) kaynaklara dayalı enerji üretimi ve taşımacılığı bir arada yürütülmektedir.</w:t>
      </w:r>
    </w:p>
    <w:p>
      <w:pPr>
        <w:pBdr>
          <w:bottom w:val="single" w:color="1F3864" w:sz="14" w:space="5"/>
        </w:pBdr>
        <w:spacing w:after="140" w:before="300"/>
      </w:pPr>
      <w:r>
        <w:rPr>
          <w:rFonts w:ascii="Calibri" w:cs="Calibri" w:eastAsia="Calibri" w:hAnsi="Calibri"/>
          <w:b/>
          <w:bCs/>
          <w:color w:val="1F3864"/>
          <w:sz w:val="28"/>
          <w:szCs w:val="28"/>
        </w:rPr>
        <w:t xml:space="preserve">2. Yenilenebilir Enerji Kaynakları</w:t>
      </w:r>
    </w:p>
    <w:p>
      <w:pPr>
        <w:spacing w:after="100" w:before="200"/>
      </w:pPr>
      <w:r>
        <w:rPr>
          <w:rFonts w:ascii="Calibri" w:cs="Calibri" w:eastAsia="Calibri" w:hAnsi="Calibri"/>
          <w:b/>
          <w:bCs/>
          <w:color w:val="2E6DA4"/>
          <w:sz w:val="23"/>
          <w:szCs w:val="23"/>
        </w:rPr>
        <w:t xml:space="preserve">2.1. Hidroelektrik Enerji</w:t>
      </w:r>
    </w:p>
    <w:p>
      <w:pPr>
        <w:spacing w:after="140"/>
        <w:jc w:val="both"/>
      </w:pPr>
      <w:r>
        <w:rPr>
          <w:rFonts w:ascii="Calibri" w:cs="Calibri" w:eastAsia="Calibri" w:hAnsi="Calibri"/>
          <w:color w:val="262626"/>
          <w:sz w:val="21"/>
          <w:szCs w:val="21"/>
        </w:rPr>
        <w:t xml:space="preserve">Adana ili, Seyhan ve Ceyhan nehirleri üzerinde kurulmuş çok sayıda baraj ve hidroelektrik santrali (HES) ile Türkiye'nin hidroelektrik potansiyeli en yüksek illerinden biridir. Yedigöze, Göktaş, Kavşak Bendi, Çatalan, Köprü ve Seyhan barajları bölgenin başlıca büyük ölçekli tesisleridir; bunlara ek olarak Ceyhan ilçesinde de Öner HES gibi daha küçük ölçekli santraller bulunmaktadır. Kent merkezindeki Seyhan Barajı ve HES, yaklaşık 60 megavatlık kurulu gücüyle yılda ortalama 250 gigavatsaat civarında elektrik üretebilmektedir.</w:t>
      </w:r>
    </w:p>
    <w:p>
      <w:pPr>
        <w:spacing w:after="100" w:before="200"/>
      </w:pPr>
      <w:r>
        <w:rPr>
          <w:rFonts w:ascii="Calibri" w:cs="Calibri" w:eastAsia="Calibri" w:hAnsi="Calibri"/>
          <w:b/>
          <w:bCs/>
          <w:color w:val="D4A017"/>
          <w:sz w:val="23"/>
          <w:szCs w:val="23"/>
        </w:rPr>
        <w:t xml:space="preserve">2.2. Güneş Enerjisi</w:t>
      </w:r>
    </w:p>
    <w:p>
      <w:pPr>
        <w:spacing w:after="140"/>
        <w:jc w:val="both"/>
      </w:pPr>
      <w:r>
        <w:rPr>
          <w:rFonts w:ascii="Calibri" w:cs="Calibri" w:eastAsia="Calibri" w:hAnsi="Calibri"/>
          <w:color w:val="262626"/>
          <w:sz w:val="21"/>
          <w:szCs w:val="21"/>
        </w:rPr>
        <w:t xml:space="preserve">Akdeniz iklimine sahip olan Ceyhan/Adana bölgesi, yıl boyunca uzun güneşlenme süresiyle güneş enerjisi santralleri (GES) için elverişli bir konumdadır. Ceyhan ilçesinde 2017 yılında kurulan Gündoğan Güneş Enerjisi Santrali, yaklaşık 17,5 kilowatt-pik gücüyle yılda ortalama 29.000 kilovatsaat elektrik üretmektedir. Bölgede tarım arazilerinin çokluğu, çatı ve arazi tipi güneş enerjisi sistemlerinin yaygınlaşması için de ayrıca bir potansiyel oluşturmaktadır.</w:t>
      </w:r>
    </w:p>
    <w:p>
      <w:pPr>
        <w:spacing w:after="100" w:before="200"/>
      </w:pPr>
      <w:r>
        <w:rPr>
          <w:rFonts w:ascii="Calibri" w:cs="Calibri" w:eastAsia="Calibri" w:hAnsi="Calibri"/>
          <w:b/>
          <w:bCs/>
          <w:color w:val="4E8542"/>
          <w:sz w:val="23"/>
          <w:szCs w:val="23"/>
        </w:rPr>
        <w:t xml:space="preserve">2.3. Rüzgâr Enerjisi</w:t>
      </w:r>
    </w:p>
    <w:p>
      <w:pPr>
        <w:spacing w:after="140"/>
        <w:jc w:val="both"/>
      </w:pPr>
      <w:r>
        <w:rPr>
          <w:rFonts w:ascii="Calibri" w:cs="Calibri" w:eastAsia="Calibri" w:hAnsi="Calibri"/>
          <w:color w:val="262626"/>
          <w:sz w:val="21"/>
          <w:szCs w:val="21"/>
        </w:rPr>
        <w:t xml:space="preserve">Adana'nın kıyı ve yüksek kesimlerinde rüzgâr enerjisi santralleri (RES) de faaliyet göstermektedir. Andoz Rüzgâr Enerjisi Santrali bunlardan biri olup bölgedeki rüzgâr potansiyelinin elektrik üretiminde değerlendirilmesine örnek teşkil etmektedir. Kıyı şeridindeki düzenli deniz meltemleri, rüzgâr enerjisi yatırımları açısından bölgeyi cazip kılan unsurlardan biridir.</w:t>
      </w:r>
    </w:p>
    <w:p>
      <w:pPr>
        <w:spacing w:after="100" w:before="200"/>
      </w:pPr>
      <w:r>
        <w:rPr>
          <w:rFonts w:ascii="Calibri" w:cs="Calibri" w:eastAsia="Calibri" w:hAnsi="Calibri"/>
          <w:b/>
          <w:bCs/>
          <w:color w:val="4E8542"/>
          <w:sz w:val="23"/>
          <w:szCs w:val="23"/>
        </w:rPr>
        <w:t xml:space="preserve">2.4. Biyokütle ve Biyogaz Enerjisi</w:t>
      </w:r>
    </w:p>
    <w:p>
      <w:pPr>
        <w:spacing w:after="140"/>
        <w:jc w:val="both"/>
      </w:pPr>
      <w:r>
        <w:rPr>
          <w:rFonts w:ascii="Calibri" w:cs="Calibri" w:eastAsia="Calibri" w:hAnsi="Calibri"/>
          <w:color w:val="262626"/>
          <w:sz w:val="21"/>
          <w:szCs w:val="21"/>
        </w:rPr>
        <w:t xml:space="preserve">Adana'nın önemli bir tarım ve sanayi bölgesi olması, tarımsal atıklardan (pamuk sapı, mısır sapı, narenciye atıkları vb.) ve kentsel katı atıklardan biyokütle/biyogaz enerjisi üretimini de mümkün kılmaktadır. Yüreğir ilçesinde faaliyet gösteren biyokütle enerji santralleri ile Sofulu çöplüğünde kurulan biyogaz santrali, bölgedeki organik atıkların elektrik üretiminde değerlendirildiği tesislere örnektir.</w:t>
      </w:r>
    </w:p>
    <w:p>
      <w:pPr>
        <w:pBdr>
          <w:bottom w:val="single" w:color="1F3864" w:sz="14" w:space="5"/>
        </w:pBdr>
        <w:spacing w:after="140" w:before="300"/>
      </w:pPr>
      <w:r>
        <w:rPr>
          <w:rFonts w:ascii="Calibri" w:cs="Calibri" w:eastAsia="Calibri" w:hAnsi="Calibri"/>
          <w:b/>
          <w:bCs/>
          <w:color w:val="1F3864"/>
          <w:sz w:val="28"/>
          <w:szCs w:val="28"/>
        </w:rPr>
        <w:t xml:space="preserve">3. Yenilenemeyen (Fosil) Enerji Kaynakları</w:t>
      </w:r>
    </w:p>
    <w:p>
      <w:pPr>
        <w:spacing w:after="100" w:before="200"/>
      </w:pPr>
      <w:r>
        <w:rPr>
          <w:rFonts w:ascii="Calibri" w:cs="Calibri" w:eastAsia="Calibri" w:hAnsi="Calibri"/>
          <w:b/>
          <w:bCs/>
          <w:color w:val="595959"/>
          <w:sz w:val="23"/>
          <w:szCs w:val="23"/>
        </w:rPr>
        <w:t xml:space="preserve">3.1. Termik Santraller (Kömür)</w:t>
      </w:r>
    </w:p>
    <w:p>
      <w:pPr>
        <w:spacing w:after="140"/>
        <w:jc w:val="both"/>
      </w:pPr>
      <w:r>
        <w:rPr>
          <w:rFonts w:ascii="Calibri" w:cs="Calibri" w:eastAsia="Calibri" w:hAnsi="Calibri"/>
          <w:color w:val="262626"/>
          <w:sz w:val="21"/>
          <w:szCs w:val="21"/>
        </w:rPr>
        <w:t xml:space="preserve">Adana, Türkiye'nin en büyük ithal kömür santrallerinden bazılarına ev sahipliği yapmaktadır. Yumurtalık bölgesindeki İSKEN Sugözü Termik Santrali (yaklaşık 1.308 MW) ve Hunutlu Termik Santrali (yaklaşık 1.320 MW) ile Tufanbeyli ilçesindeki linyit yakıtlı Tufanbeyli Termik Santrali (yaklaşık 450 MW), bölgenin ve Türkiye elektrik şebekesinin önemli bir kısmının enerji ihtiyacını karşılamaktadır.</w:t>
      </w:r>
    </w:p>
    <w:p>
      <w:pPr>
        <w:spacing w:after="100" w:before="200"/>
      </w:pPr>
      <w:r>
        <w:rPr>
          <w:rFonts w:ascii="Calibri" w:cs="Calibri" w:eastAsia="Calibri" w:hAnsi="Calibri"/>
          <w:b/>
          <w:bCs/>
          <w:color w:val="C1440E"/>
          <w:sz w:val="23"/>
          <w:szCs w:val="23"/>
        </w:rPr>
        <w:t xml:space="preserve">3.2. Petrol ve Doğal Gaz</w:t>
      </w:r>
    </w:p>
    <w:p>
      <w:pPr>
        <w:spacing w:after="140"/>
        <w:jc w:val="both"/>
      </w:pPr>
      <w:r>
        <w:rPr>
          <w:rFonts w:ascii="Calibri" w:cs="Calibri" w:eastAsia="Calibri" w:hAnsi="Calibri"/>
          <w:color w:val="262626"/>
          <w:sz w:val="21"/>
          <w:szCs w:val="21"/>
        </w:rPr>
        <w:t xml:space="preserve">Ceyhan, konumu itibarıyla yalnızca bir üretim değil, aynı zamanda uluslararası bir taşıma ve depolama üssüdür. Azerbaycan'ın Hazar havzası petrolünü taşıyan Bakü-Tiflis-Ceyhan (BTC) Ham Petrol Boru Hattı ile Irak'tan gelen Kerkük-Yumurtalık Ham Petrol Boru Hattı, Ceyhan/Yumurtalık'taki deniz terminaline ulaşmaktadır. Buradan Ceyhan-Kırıkkale Ham Petrol Boru Hattı ile ham petrolün bir kısmı iç pazara, geri kalanı ise tankerlerle dünya pazarlarına taşınmaktadır. Bu özelliğiyle Ceyhan, gelecekte rafineri, petrokimya ve sıvılaştırılmış doğal gaz (LNG) tesisleriyle daha da büyümesi planlanan, bölgesel ve uluslararası ölçekte önemli bir enerji terminaline dönüşmüş durumdadır.</w:t>
      </w:r>
    </w:p>
    <w:p>
      <w:pPr>
        <w:pBdr>
          <w:bottom w:val="single" w:color="1F3864" w:sz="14" w:space="5"/>
        </w:pBdr>
        <w:spacing w:after="140" w:before="300"/>
      </w:pPr>
      <w:r>
        <w:rPr>
          <w:rFonts w:ascii="Calibri" w:cs="Calibri" w:eastAsia="Calibri" w:hAnsi="Calibri"/>
          <w:b/>
          <w:bCs/>
          <w:color w:val="1F3864"/>
          <w:sz w:val="28"/>
          <w:szCs w:val="28"/>
        </w:rPr>
        <w:t xml:space="preserve">4. Bölgedeki Başlıca Enerji Tesisleri (Özet Tablo)</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000"/>
        <w:gridCol w:w="2600"/>
        <w:gridCol w:w="2350"/>
        <w:gridCol w:w="2400"/>
      </w:tblGrid>
      <w:tr>
        <w:tc>
          <w:tcPr>
            <w:tcW w:type="dxa" w:w="2000"/>
            <w:shd w:fill="1F3864" w:color="auto" w:val="clear"/>
            <w:tcMar>
              <w:top w:type="dxa" w:w="80"/>
              <w:left w:type="dxa" w:w="100"/>
              <w:bottom w:type="dxa" w:w="80"/>
              <w:right w:type="dxa" w:w="100"/>
            </w:tcMar>
            <w:vAlign w:val="center"/>
          </w:tcPr>
          <w:p>
            <w:pPr>
              <w:jc w:val="center"/>
            </w:pPr>
            <w:r>
              <w:rPr>
                <w:rFonts w:ascii="Calibri" w:cs="Calibri" w:eastAsia="Calibri" w:hAnsi="Calibri"/>
                <w:b/>
                <w:bCs/>
                <w:i w:val="false"/>
                <w:iCs w:val="false"/>
                <w:color w:val="FFFFFF"/>
                <w:sz w:val="20"/>
                <w:szCs w:val="20"/>
              </w:rPr>
              <w:t xml:space="preserve">Kaynak Türü</w:t>
            </w:r>
          </w:p>
        </w:tc>
        <w:tc>
          <w:tcPr>
            <w:tcW w:type="dxa" w:w="2600"/>
            <w:shd w:fill="1F3864" w:color="auto" w:val="clear"/>
            <w:tcMar>
              <w:top w:type="dxa" w:w="80"/>
              <w:left w:type="dxa" w:w="100"/>
              <w:bottom w:type="dxa" w:w="80"/>
              <w:right w:type="dxa" w:w="100"/>
            </w:tcMar>
            <w:vAlign w:val="center"/>
          </w:tcPr>
          <w:p>
            <w:pPr>
              <w:jc w:val="center"/>
            </w:pPr>
            <w:r>
              <w:rPr>
                <w:rFonts w:ascii="Calibri" w:cs="Calibri" w:eastAsia="Calibri" w:hAnsi="Calibri"/>
                <w:b/>
                <w:bCs/>
                <w:i w:val="false"/>
                <w:iCs w:val="false"/>
                <w:color w:val="FFFFFF"/>
                <w:sz w:val="20"/>
                <w:szCs w:val="20"/>
              </w:rPr>
              <w:t xml:space="preserve">Tesis Adı</w:t>
            </w:r>
          </w:p>
        </w:tc>
        <w:tc>
          <w:tcPr>
            <w:tcW w:type="dxa" w:w="2350"/>
            <w:shd w:fill="1F3864" w:color="auto" w:val="clear"/>
            <w:tcMar>
              <w:top w:type="dxa" w:w="80"/>
              <w:left w:type="dxa" w:w="100"/>
              <w:bottom w:type="dxa" w:w="80"/>
              <w:right w:type="dxa" w:w="100"/>
            </w:tcMar>
            <w:vAlign w:val="center"/>
          </w:tcPr>
          <w:p>
            <w:pPr>
              <w:jc w:val="center"/>
            </w:pPr>
            <w:r>
              <w:rPr>
                <w:rFonts w:ascii="Calibri" w:cs="Calibri" w:eastAsia="Calibri" w:hAnsi="Calibri"/>
                <w:b/>
                <w:bCs/>
                <w:i w:val="false"/>
                <w:iCs w:val="false"/>
                <w:color w:val="FFFFFF"/>
                <w:sz w:val="20"/>
                <w:szCs w:val="20"/>
              </w:rPr>
              <w:t xml:space="preserve">Konum</w:t>
            </w:r>
          </w:p>
        </w:tc>
        <w:tc>
          <w:tcPr>
            <w:tcW w:type="dxa" w:w="2400"/>
            <w:shd w:fill="1F3864" w:color="auto" w:val="clear"/>
            <w:tcMar>
              <w:top w:type="dxa" w:w="80"/>
              <w:left w:type="dxa" w:w="100"/>
              <w:bottom w:type="dxa" w:w="80"/>
              <w:right w:type="dxa" w:w="100"/>
            </w:tcMar>
            <w:vAlign w:val="center"/>
          </w:tcPr>
          <w:p>
            <w:pPr>
              <w:jc w:val="center"/>
            </w:pPr>
            <w:r>
              <w:rPr>
                <w:rFonts w:ascii="Calibri" w:cs="Calibri" w:eastAsia="Calibri" w:hAnsi="Calibri"/>
                <w:b/>
                <w:bCs/>
                <w:i w:val="false"/>
                <w:iCs w:val="false"/>
                <w:color w:val="FFFFFF"/>
                <w:sz w:val="20"/>
                <w:szCs w:val="20"/>
              </w:rPr>
              <w:t xml:space="preserve">Yaklaşık Kurulu Güç</w:t>
            </w:r>
          </w:p>
        </w:tc>
      </w:tr>
      <w:tr>
        <w:tc>
          <w:tcPr>
            <w:tcW w:type="dxa" w:w="2000"/>
            <w:shd w:fill="F2F2F2" w:color="auto" w:val="clear"/>
            <w:tcMar>
              <w:top w:type="dxa" w:w="80"/>
              <w:left w:type="dxa" w:w="100"/>
              <w:bottom w:type="dxa" w:w="80"/>
              <w:right w:type="dxa" w:w="100"/>
            </w:tcMar>
            <w:vAlign w:val="center"/>
          </w:tcPr>
          <w:p>
            <w:pPr>
              <w:jc w:val="center"/>
            </w:pPr>
            <w:r>
              <w:rPr>
                <w:rFonts w:ascii="Calibri" w:cs="Calibri" w:eastAsia="Calibri" w:hAnsi="Calibri"/>
                <w:b w:val="false"/>
                <w:bCs w:val="false"/>
                <w:i w:val="false"/>
                <w:iCs w:val="false"/>
                <w:color w:val="000000"/>
                <w:sz w:val="20"/>
                <w:szCs w:val="20"/>
              </w:rPr>
              <w:t xml:space="preserve">Termik (Kömür)</w:t>
            </w:r>
          </w:p>
        </w:tc>
        <w:tc>
          <w:tcPr>
            <w:tcW w:type="dxa" w:w="2600"/>
            <w:shd w:fill="F2F2F2" w:color="auto" w:val="clear"/>
            <w:tcMar>
              <w:top w:type="dxa" w:w="80"/>
              <w:left w:type="dxa" w:w="100"/>
              <w:bottom w:type="dxa" w:w="80"/>
              <w:right w:type="dxa" w:w="100"/>
            </w:tcMar>
            <w:vAlign w:val="center"/>
          </w:tcPr>
          <w:p>
            <w:pPr>
              <w:jc w:val="left"/>
            </w:pPr>
            <w:r>
              <w:rPr>
                <w:rFonts w:ascii="Calibri" w:cs="Calibri" w:eastAsia="Calibri" w:hAnsi="Calibri"/>
                <w:b w:val="false"/>
                <w:bCs w:val="false"/>
                <w:i w:val="false"/>
                <w:iCs w:val="false"/>
                <w:color w:val="000000"/>
                <w:sz w:val="20"/>
                <w:szCs w:val="20"/>
              </w:rPr>
              <w:t xml:space="preserve">Hunutlu Termik Santrali</w:t>
            </w:r>
          </w:p>
        </w:tc>
        <w:tc>
          <w:tcPr>
            <w:tcW w:type="dxa" w:w="2350"/>
            <w:shd w:fill="F2F2F2" w:color="auto" w:val="clear"/>
            <w:tcMar>
              <w:top w:type="dxa" w:w="80"/>
              <w:left w:type="dxa" w:w="100"/>
              <w:bottom w:type="dxa" w:w="80"/>
              <w:right w:type="dxa" w:w="100"/>
            </w:tcMar>
            <w:vAlign w:val="center"/>
          </w:tcPr>
          <w:p>
            <w:pPr>
              <w:jc w:val="center"/>
            </w:pPr>
            <w:r>
              <w:rPr>
                <w:rFonts w:ascii="Calibri" w:cs="Calibri" w:eastAsia="Calibri" w:hAnsi="Calibri"/>
                <w:b w:val="false"/>
                <w:bCs w:val="false"/>
                <w:i w:val="false"/>
                <w:iCs w:val="false"/>
                <w:color w:val="000000"/>
                <w:sz w:val="20"/>
                <w:szCs w:val="20"/>
              </w:rPr>
              <w:t xml:space="preserve">Yumurtalık / Ceyhan</w:t>
            </w:r>
          </w:p>
        </w:tc>
        <w:tc>
          <w:tcPr>
            <w:tcW w:type="dxa" w:w="2400"/>
            <w:shd w:fill="F2F2F2" w:color="auto" w:val="clear"/>
            <w:tcMar>
              <w:top w:type="dxa" w:w="80"/>
              <w:left w:type="dxa" w:w="100"/>
              <w:bottom w:type="dxa" w:w="80"/>
              <w:right w:type="dxa" w:w="100"/>
            </w:tcMar>
            <w:vAlign w:val="center"/>
          </w:tcPr>
          <w:p>
            <w:pPr>
              <w:jc w:val="center"/>
            </w:pPr>
            <w:r>
              <w:rPr>
                <w:rFonts w:ascii="Calibri" w:cs="Calibri" w:eastAsia="Calibri" w:hAnsi="Calibri"/>
                <w:b w:val="false"/>
                <w:bCs w:val="false"/>
                <w:i w:val="false"/>
                <w:iCs w:val="false"/>
                <w:color w:val="000000"/>
                <w:sz w:val="20"/>
                <w:szCs w:val="20"/>
              </w:rPr>
              <w:t xml:space="preserve">1.320 MW</w:t>
            </w:r>
          </w:p>
        </w:tc>
      </w:tr>
      <w:tr>
        <w:tc>
          <w:tcPr>
            <w:tcW w:type="dxa" w:w="2000"/>
            <w:shd w:fill="FFFFFF" w:color="auto" w:val="clear"/>
            <w:tcMar>
              <w:top w:type="dxa" w:w="80"/>
              <w:left w:type="dxa" w:w="100"/>
              <w:bottom w:type="dxa" w:w="80"/>
              <w:right w:type="dxa" w:w="100"/>
            </w:tcMar>
            <w:vAlign w:val="center"/>
          </w:tcPr>
          <w:p>
            <w:pPr>
              <w:jc w:val="center"/>
            </w:pPr>
            <w:r>
              <w:rPr>
                <w:rFonts w:ascii="Calibri" w:cs="Calibri" w:eastAsia="Calibri" w:hAnsi="Calibri"/>
                <w:b w:val="false"/>
                <w:bCs w:val="false"/>
                <w:i w:val="false"/>
                <w:iCs w:val="false"/>
                <w:color w:val="000000"/>
                <w:sz w:val="20"/>
                <w:szCs w:val="20"/>
              </w:rPr>
              <w:t xml:space="preserve">Termik (Kömür)</w:t>
            </w:r>
          </w:p>
        </w:tc>
        <w:tc>
          <w:tcPr>
            <w:tcW w:type="dxa" w:w="2600"/>
            <w:shd w:fill="FFFFFF" w:color="auto" w:val="clear"/>
            <w:tcMar>
              <w:top w:type="dxa" w:w="80"/>
              <w:left w:type="dxa" w:w="100"/>
              <w:bottom w:type="dxa" w:w="80"/>
              <w:right w:type="dxa" w:w="100"/>
            </w:tcMar>
            <w:vAlign w:val="center"/>
          </w:tcPr>
          <w:p>
            <w:pPr>
              <w:jc w:val="left"/>
            </w:pPr>
            <w:r>
              <w:rPr>
                <w:rFonts w:ascii="Calibri" w:cs="Calibri" w:eastAsia="Calibri" w:hAnsi="Calibri"/>
                <w:b w:val="false"/>
                <w:bCs w:val="false"/>
                <w:i w:val="false"/>
                <w:iCs w:val="false"/>
                <w:color w:val="000000"/>
                <w:sz w:val="20"/>
                <w:szCs w:val="20"/>
              </w:rPr>
              <w:t xml:space="preserve">İSKEN Sugözü Termik Santrali</w:t>
            </w:r>
          </w:p>
        </w:tc>
        <w:tc>
          <w:tcPr>
            <w:tcW w:type="dxa" w:w="2350"/>
            <w:shd w:fill="FFFFFF" w:color="auto" w:val="clear"/>
            <w:tcMar>
              <w:top w:type="dxa" w:w="80"/>
              <w:left w:type="dxa" w:w="100"/>
              <w:bottom w:type="dxa" w:w="80"/>
              <w:right w:type="dxa" w:w="100"/>
            </w:tcMar>
            <w:vAlign w:val="center"/>
          </w:tcPr>
          <w:p>
            <w:pPr>
              <w:jc w:val="center"/>
            </w:pPr>
            <w:r>
              <w:rPr>
                <w:rFonts w:ascii="Calibri" w:cs="Calibri" w:eastAsia="Calibri" w:hAnsi="Calibri"/>
                <w:b w:val="false"/>
                <w:bCs w:val="false"/>
                <w:i w:val="false"/>
                <w:iCs w:val="false"/>
                <w:color w:val="000000"/>
                <w:sz w:val="20"/>
                <w:szCs w:val="20"/>
              </w:rPr>
              <w:t xml:space="preserve">Yumurtalık / Ceyhan</w:t>
            </w:r>
          </w:p>
        </w:tc>
        <w:tc>
          <w:tcPr>
            <w:tcW w:type="dxa" w:w="2400"/>
            <w:shd w:fill="FFFFFF" w:color="auto" w:val="clear"/>
            <w:tcMar>
              <w:top w:type="dxa" w:w="80"/>
              <w:left w:type="dxa" w:w="100"/>
              <w:bottom w:type="dxa" w:w="80"/>
              <w:right w:type="dxa" w:w="100"/>
            </w:tcMar>
            <w:vAlign w:val="center"/>
          </w:tcPr>
          <w:p>
            <w:pPr>
              <w:jc w:val="center"/>
            </w:pPr>
            <w:r>
              <w:rPr>
                <w:rFonts w:ascii="Calibri" w:cs="Calibri" w:eastAsia="Calibri" w:hAnsi="Calibri"/>
                <w:b w:val="false"/>
                <w:bCs w:val="false"/>
                <w:i w:val="false"/>
                <w:iCs w:val="false"/>
                <w:color w:val="000000"/>
                <w:sz w:val="20"/>
                <w:szCs w:val="20"/>
              </w:rPr>
              <w:t xml:space="preserve">1.308 MW</w:t>
            </w:r>
          </w:p>
        </w:tc>
      </w:tr>
      <w:tr>
        <w:tc>
          <w:tcPr>
            <w:tcW w:type="dxa" w:w="2000"/>
            <w:shd w:fill="F2F2F2" w:color="auto" w:val="clear"/>
            <w:tcMar>
              <w:top w:type="dxa" w:w="80"/>
              <w:left w:type="dxa" w:w="100"/>
              <w:bottom w:type="dxa" w:w="80"/>
              <w:right w:type="dxa" w:w="100"/>
            </w:tcMar>
            <w:vAlign w:val="center"/>
          </w:tcPr>
          <w:p>
            <w:pPr>
              <w:jc w:val="center"/>
            </w:pPr>
            <w:r>
              <w:rPr>
                <w:rFonts w:ascii="Calibri" w:cs="Calibri" w:eastAsia="Calibri" w:hAnsi="Calibri"/>
                <w:b w:val="false"/>
                <w:bCs w:val="false"/>
                <w:i w:val="false"/>
                <w:iCs w:val="false"/>
                <w:color w:val="000000"/>
                <w:sz w:val="20"/>
                <w:szCs w:val="20"/>
              </w:rPr>
              <w:t xml:space="preserve">Termik (Linyit)</w:t>
            </w:r>
          </w:p>
        </w:tc>
        <w:tc>
          <w:tcPr>
            <w:tcW w:type="dxa" w:w="2600"/>
            <w:shd w:fill="F2F2F2" w:color="auto" w:val="clear"/>
            <w:tcMar>
              <w:top w:type="dxa" w:w="80"/>
              <w:left w:type="dxa" w:w="100"/>
              <w:bottom w:type="dxa" w:w="80"/>
              <w:right w:type="dxa" w:w="100"/>
            </w:tcMar>
            <w:vAlign w:val="center"/>
          </w:tcPr>
          <w:p>
            <w:pPr>
              <w:jc w:val="left"/>
            </w:pPr>
            <w:r>
              <w:rPr>
                <w:rFonts w:ascii="Calibri" w:cs="Calibri" w:eastAsia="Calibri" w:hAnsi="Calibri"/>
                <w:b w:val="false"/>
                <w:bCs w:val="false"/>
                <w:i w:val="false"/>
                <w:iCs w:val="false"/>
                <w:color w:val="000000"/>
                <w:sz w:val="20"/>
                <w:szCs w:val="20"/>
              </w:rPr>
              <w:t xml:space="preserve">Tufanbeyli Termik Santrali</w:t>
            </w:r>
          </w:p>
        </w:tc>
        <w:tc>
          <w:tcPr>
            <w:tcW w:type="dxa" w:w="2350"/>
            <w:shd w:fill="F2F2F2" w:color="auto" w:val="clear"/>
            <w:tcMar>
              <w:top w:type="dxa" w:w="80"/>
              <w:left w:type="dxa" w:w="100"/>
              <w:bottom w:type="dxa" w:w="80"/>
              <w:right w:type="dxa" w:w="100"/>
            </w:tcMar>
            <w:vAlign w:val="center"/>
          </w:tcPr>
          <w:p>
            <w:pPr>
              <w:jc w:val="center"/>
            </w:pPr>
            <w:r>
              <w:rPr>
                <w:rFonts w:ascii="Calibri" w:cs="Calibri" w:eastAsia="Calibri" w:hAnsi="Calibri"/>
                <w:b w:val="false"/>
                <w:bCs w:val="false"/>
                <w:i w:val="false"/>
                <w:iCs w:val="false"/>
                <w:color w:val="000000"/>
                <w:sz w:val="20"/>
                <w:szCs w:val="20"/>
              </w:rPr>
              <w:t xml:space="preserve">Tufanbeyli</w:t>
            </w:r>
          </w:p>
        </w:tc>
        <w:tc>
          <w:tcPr>
            <w:tcW w:type="dxa" w:w="2400"/>
            <w:shd w:fill="F2F2F2" w:color="auto" w:val="clear"/>
            <w:tcMar>
              <w:top w:type="dxa" w:w="80"/>
              <w:left w:type="dxa" w:w="100"/>
              <w:bottom w:type="dxa" w:w="80"/>
              <w:right w:type="dxa" w:w="100"/>
            </w:tcMar>
            <w:vAlign w:val="center"/>
          </w:tcPr>
          <w:p>
            <w:pPr>
              <w:jc w:val="center"/>
            </w:pPr>
            <w:r>
              <w:rPr>
                <w:rFonts w:ascii="Calibri" w:cs="Calibri" w:eastAsia="Calibri" w:hAnsi="Calibri"/>
                <w:b w:val="false"/>
                <w:bCs w:val="false"/>
                <w:i w:val="false"/>
                <w:iCs w:val="false"/>
                <w:color w:val="000000"/>
                <w:sz w:val="20"/>
                <w:szCs w:val="20"/>
              </w:rPr>
              <w:t xml:space="preserve">450 MW</w:t>
            </w:r>
          </w:p>
        </w:tc>
      </w:tr>
      <w:tr>
        <w:tc>
          <w:tcPr>
            <w:tcW w:type="dxa" w:w="2000"/>
            <w:shd w:fill="FFFFFF" w:color="auto" w:val="clear"/>
            <w:tcMar>
              <w:top w:type="dxa" w:w="80"/>
              <w:left w:type="dxa" w:w="100"/>
              <w:bottom w:type="dxa" w:w="80"/>
              <w:right w:type="dxa" w:w="100"/>
            </w:tcMar>
            <w:vAlign w:val="center"/>
          </w:tcPr>
          <w:p>
            <w:pPr>
              <w:jc w:val="center"/>
            </w:pPr>
            <w:r>
              <w:rPr>
                <w:rFonts w:ascii="Calibri" w:cs="Calibri" w:eastAsia="Calibri" w:hAnsi="Calibri"/>
                <w:b w:val="false"/>
                <w:bCs w:val="false"/>
                <w:i w:val="false"/>
                <w:iCs w:val="false"/>
                <w:color w:val="000000"/>
                <w:sz w:val="20"/>
                <w:szCs w:val="20"/>
              </w:rPr>
              <w:t xml:space="preserve">Hidroelektrik</w:t>
            </w:r>
          </w:p>
        </w:tc>
        <w:tc>
          <w:tcPr>
            <w:tcW w:type="dxa" w:w="2600"/>
            <w:shd w:fill="FFFFFF" w:color="auto" w:val="clear"/>
            <w:tcMar>
              <w:top w:type="dxa" w:w="80"/>
              <w:left w:type="dxa" w:w="100"/>
              <w:bottom w:type="dxa" w:w="80"/>
              <w:right w:type="dxa" w:w="100"/>
            </w:tcMar>
            <w:vAlign w:val="center"/>
          </w:tcPr>
          <w:p>
            <w:pPr>
              <w:jc w:val="left"/>
            </w:pPr>
            <w:r>
              <w:rPr>
                <w:rFonts w:ascii="Calibri" w:cs="Calibri" w:eastAsia="Calibri" w:hAnsi="Calibri"/>
                <w:b w:val="false"/>
                <w:bCs w:val="false"/>
                <w:i w:val="false"/>
                <w:iCs w:val="false"/>
                <w:color w:val="000000"/>
                <w:sz w:val="20"/>
                <w:szCs w:val="20"/>
              </w:rPr>
              <w:t xml:space="preserve">Seyhan Barajı ve HES</w:t>
            </w:r>
          </w:p>
        </w:tc>
        <w:tc>
          <w:tcPr>
            <w:tcW w:type="dxa" w:w="2350"/>
            <w:shd w:fill="FFFFFF" w:color="auto" w:val="clear"/>
            <w:tcMar>
              <w:top w:type="dxa" w:w="80"/>
              <w:left w:type="dxa" w:w="100"/>
              <w:bottom w:type="dxa" w:w="80"/>
              <w:right w:type="dxa" w:w="100"/>
            </w:tcMar>
            <w:vAlign w:val="center"/>
          </w:tcPr>
          <w:p>
            <w:pPr>
              <w:jc w:val="center"/>
            </w:pPr>
            <w:r>
              <w:rPr>
                <w:rFonts w:ascii="Calibri" w:cs="Calibri" w:eastAsia="Calibri" w:hAnsi="Calibri"/>
                <w:b w:val="false"/>
                <w:bCs w:val="false"/>
                <w:i w:val="false"/>
                <w:iCs w:val="false"/>
                <w:color w:val="000000"/>
                <w:sz w:val="20"/>
                <w:szCs w:val="20"/>
              </w:rPr>
              <w:t xml:space="preserve">Adana Merkez</w:t>
            </w:r>
          </w:p>
        </w:tc>
        <w:tc>
          <w:tcPr>
            <w:tcW w:type="dxa" w:w="2400"/>
            <w:shd w:fill="FFFFFF" w:color="auto" w:val="clear"/>
            <w:tcMar>
              <w:top w:type="dxa" w:w="80"/>
              <w:left w:type="dxa" w:w="100"/>
              <w:bottom w:type="dxa" w:w="80"/>
              <w:right w:type="dxa" w:w="100"/>
            </w:tcMar>
            <w:vAlign w:val="center"/>
          </w:tcPr>
          <w:p>
            <w:pPr>
              <w:jc w:val="center"/>
            </w:pPr>
            <w:r>
              <w:rPr>
                <w:rFonts w:ascii="Calibri" w:cs="Calibri" w:eastAsia="Calibri" w:hAnsi="Calibri"/>
                <w:b w:val="false"/>
                <w:bCs w:val="false"/>
                <w:i w:val="false"/>
                <w:iCs w:val="false"/>
                <w:color w:val="000000"/>
                <w:sz w:val="20"/>
                <w:szCs w:val="20"/>
              </w:rPr>
              <w:t xml:space="preserve">60 MW</w:t>
            </w:r>
          </w:p>
        </w:tc>
      </w:tr>
      <w:tr>
        <w:tc>
          <w:tcPr>
            <w:tcW w:type="dxa" w:w="2000"/>
            <w:shd w:fill="F2F2F2" w:color="auto" w:val="clear"/>
            <w:tcMar>
              <w:top w:type="dxa" w:w="80"/>
              <w:left w:type="dxa" w:w="100"/>
              <w:bottom w:type="dxa" w:w="80"/>
              <w:right w:type="dxa" w:w="100"/>
            </w:tcMar>
            <w:vAlign w:val="center"/>
          </w:tcPr>
          <w:p>
            <w:pPr>
              <w:jc w:val="center"/>
            </w:pPr>
            <w:r>
              <w:rPr>
                <w:rFonts w:ascii="Calibri" w:cs="Calibri" w:eastAsia="Calibri" w:hAnsi="Calibri"/>
                <w:b w:val="false"/>
                <w:bCs w:val="false"/>
                <w:i w:val="false"/>
                <w:iCs w:val="false"/>
                <w:color w:val="000000"/>
                <w:sz w:val="20"/>
                <w:szCs w:val="20"/>
              </w:rPr>
              <w:t xml:space="preserve">Hidroelektrik</w:t>
            </w:r>
          </w:p>
        </w:tc>
        <w:tc>
          <w:tcPr>
            <w:tcW w:type="dxa" w:w="2600"/>
            <w:shd w:fill="F2F2F2" w:color="auto" w:val="clear"/>
            <w:tcMar>
              <w:top w:type="dxa" w:w="80"/>
              <w:left w:type="dxa" w:w="100"/>
              <w:bottom w:type="dxa" w:w="80"/>
              <w:right w:type="dxa" w:w="100"/>
            </w:tcMar>
            <w:vAlign w:val="center"/>
          </w:tcPr>
          <w:p>
            <w:pPr>
              <w:jc w:val="left"/>
            </w:pPr>
            <w:r>
              <w:rPr>
                <w:rFonts w:ascii="Calibri" w:cs="Calibri" w:eastAsia="Calibri" w:hAnsi="Calibri"/>
                <w:b w:val="false"/>
                <w:bCs w:val="false"/>
                <w:i w:val="false"/>
                <w:iCs w:val="false"/>
                <w:color w:val="000000"/>
                <w:sz w:val="20"/>
                <w:szCs w:val="20"/>
              </w:rPr>
              <w:t xml:space="preserve">Öner HES</w:t>
            </w:r>
          </w:p>
        </w:tc>
        <w:tc>
          <w:tcPr>
            <w:tcW w:type="dxa" w:w="2350"/>
            <w:shd w:fill="F2F2F2" w:color="auto" w:val="clear"/>
            <w:tcMar>
              <w:top w:type="dxa" w:w="80"/>
              <w:left w:type="dxa" w:w="100"/>
              <w:bottom w:type="dxa" w:w="80"/>
              <w:right w:type="dxa" w:w="100"/>
            </w:tcMar>
            <w:vAlign w:val="center"/>
          </w:tcPr>
          <w:p>
            <w:pPr>
              <w:jc w:val="center"/>
            </w:pPr>
            <w:r>
              <w:rPr>
                <w:rFonts w:ascii="Calibri" w:cs="Calibri" w:eastAsia="Calibri" w:hAnsi="Calibri"/>
                <w:b w:val="false"/>
                <w:bCs w:val="false"/>
                <w:i w:val="false"/>
                <w:iCs w:val="false"/>
                <w:color w:val="000000"/>
                <w:sz w:val="20"/>
                <w:szCs w:val="20"/>
              </w:rPr>
              <w:t xml:space="preserve">Ceyhan</w:t>
            </w:r>
          </w:p>
        </w:tc>
        <w:tc>
          <w:tcPr>
            <w:tcW w:type="dxa" w:w="2400"/>
            <w:shd w:fill="F2F2F2" w:color="auto" w:val="clear"/>
            <w:tcMar>
              <w:top w:type="dxa" w:w="80"/>
              <w:left w:type="dxa" w:w="100"/>
              <w:bottom w:type="dxa" w:w="80"/>
              <w:right w:type="dxa" w:w="100"/>
            </w:tcMar>
            <w:vAlign w:val="center"/>
          </w:tcPr>
          <w:p>
            <w:pPr>
              <w:jc w:val="center"/>
            </w:pPr>
            <w:r>
              <w:rPr>
                <w:rFonts w:ascii="Calibri" w:cs="Calibri" w:eastAsia="Calibri" w:hAnsi="Calibri"/>
                <w:b w:val="false"/>
                <w:bCs w:val="false"/>
                <w:i w:val="false"/>
                <w:iCs w:val="false"/>
                <w:color w:val="000000"/>
                <w:sz w:val="20"/>
                <w:szCs w:val="20"/>
              </w:rPr>
              <w:t xml:space="preserve">4,19 MW</w:t>
            </w:r>
          </w:p>
        </w:tc>
      </w:tr>
      <w:tr>
        <w:tc>
          <w:tcPr>
            <w:tcW w:type="dxa" w:w="2000"/>
            <w:shd w:fill="FFFFFF" w:color="auto" w:val="clear"/>
            <w:tcMar>
              <w:top w:type="dxa" w:w="80"/>
              <w:left w:type="dxa" w:w="100"/>
              <w:bottom w:type="dxa" w:w="80"/>
              <w:right w:type="dxa" w:w="100"/>
            </w:tcMar>
            <w:vAlign w:val="center"/>
          </w:tcPr>
          <w:p>
            <w:pPr>
              <w:jc w:val="center"/>
            </w:pPr>
            <w:r>
              <w:rPr>
                <w:rFonts w:ascii="Calibri" w:cs="Calibri" w:eastAsia="Calibri" w:hAnsi="Calibri"/>
                <w:b w:val="false"/>
                <w:bCs w:val="false"/>
                <w:i w:val="false"/>
                <w:iCs w:val="false"/>
                <w:color w:val="000000"/>
                <w:sz w:val="20"/>
                <w:szCs w:val="20"/>
              </w:rPr>
              <w:t xml:space="preserve">Güneş (GES)</w:t>
            </w:r>
          </w:p>
        </w:tc>
        <w:tc>
          <w:tcPr>
            <w:tcW w:type="dxa" w:w="2600"/>
            <w:shd w:fill="FFFFFF" w:color="auto" w:val="clear"/>
            <w:tcMar>
              <w:top w:type="dxa" w:w="80"/>
              <w:left w:type="dxa" w:w="100"/>
              <w:bottom w:type="dxa" w:w="80"/>
              <w:right w:type="dxa" w:w="100"/>
            </w:tcMar>
            <w:vAlign w:val="center"/>
          </w:tcPr>
          <w:p>
            <w:pPr>
              <w:jc w:val="left"/>
            </w:pPr>
            <w:r>
              <w:rPr>
                <w:rFonts w:ascii="Calibri" w:cs="Calibri" w:eastAsia="Calibri" w:hAnsi="Calibri"/>
                <w:b w:val="false"/>
                <w:bCs w:val="false"/>
                <w:i w:val="false"/>
                <w:iCs w:val="false"/>
                <w:color w:val="000000"/>
                <w:sz w:val="20"/>
                <w:szCs w:val="20"/>
              </w:rPr>
              <w:t xml:space="preserve">Gündoğan Güneş Enerjisi Santrali</w:t>
            </w:r>
          </w:p>
        </w:tc>
        <w:tc>
          <w:tcPr>
            <w:tcW w:type="dxa" w:w="2350"/>
            <w:shd w:fill="FFFFFF" w:color="auto" w:val="clear"/>
            <w:tcMar>
              <w:top w:type="dxa" w:w="80"/>
              <w:left w:type="dxa" w:w="100"/>
              <w:bottom w:type="dxa" w:w="80"/>
              <w:right w:type="dxa" w:w="100"/>
            </w:tcMar>
            <w:vAlign w:val="center"/>
          </w:tcPr>
          <w:p>
            <w:pPr>
              <w:jc w:val="center"/>
            </w:pPr>
            <w:r>
              <w:rPr>
                <w:rFonts w:ascii="Calibri" w:cs="Calibri" w:eastAsia="Calibri" w:hAnsi="Calibri"/>
                <w:b w:val="false"/>
                <w:bCs w:val="false"/>
                <w:i w:val="false"/>
                <w:iCs w:val="false"/>
                <w:color w:val="000000"/>
                <w:sz w:val="20"/>
                <w:szCs w:val="20"/>
              </w:rPr>
              <w:t xml:space="preserve">Ceyhan</w:t>
            </w:r>
          </w:p>
        </w:tc>
        <w:tc>
          <w:tcPr>
            <w:tcW w:type="dxa" w:w="2400"/>
            <w:shd w:fill="FFFFFF" w:color="auto" w:val="clear"/>
            <w:tcMar>
              <w:top w:type="dxa" w:w="80"/>
              <w:left w:type="dxa" w:w="100"/>
              <w:bottom w:type="dxa" w:w="80"/>
              <w:right w:type="dxa" w:w="100"/>
            </w:tcMar>
            <w:vAlign w:val="center"/>
          </w:tcPr>
          <w:p>
            <w:pPr>
              <w:jc w:val="center"/>
            </w:pPr>
            <w:r>
              <w:rPr>
                <w:rFonts w:ascii="Calibri" w:cs="Calibri" w:eastAsia="Calibri" w:hAnsi="Calibri"/>
                <w:b w:val="false"/>
                <w:bCs w:val="false"/>
                <w:i w:val="false"/>
                <w:iCs w:val="false"/>
                <w:color w:val="000000"/>
                <w:sz w:val="20"/>
                <w:szCs w:val="20"/>
              </w:rPr>
              <w:t xml:space="preserve">17,45 kWp</w:t>
            </w:r>
          </w:p>
        </w:tc>
      </w:tr>
      <w:tr>
        <w:tc>
          <w:tcPr>
            <w:tcW w:type="dxa" w:w="2000"/>
            <w:shd w:fill="F2F2F2" w:color="auto" w:val="clear"/>
            <w:tcMar>
              <w:top w:type="dxa" w:w="80"/>
              <w:left w:type="dxa" w:w="100"/>
              <w:bottom w:type="dxa" w:w="80"/>
              <w:right w:type="dxa" w:w="100"/>
            </w:tcMar>
            <w:vAlign w:val="center"/>
          </w:tcPr>
          <w:p>
            <w:pPr>
              <w:jc w:val="center"/>
            </w:pPr>
            <w:r>
              <w:rPr>
                <w:rFonts w:ascii="Calibri" w:cs="Calibri" w:eastAsia="Calibri" w:hAnsi="Calibri"/>
                <w:b w:val="false"/>
                <w:bCs w:val="false"/>
                <w:i w:val="false"/>
                <w:iCs w:val="false"/>
                <w:color w:val="000000"/>
                <w:sz w:val="20"/>
                <w:szCs w:val="20"/>
              </w:rPr>
              <w:t xml:space="preserve">Rüzgâr (RES)</w:t>
            </w:r>
          </w:p>
        </w:tc>
        <w:tc>
          <w:tcPr>
            <w:tcW w:type="dxa" w:w="2600"/>
            <w:shd w:fill="F2F2F2" w:color="auto" w:val="clear"/>
            <w:tcMar>
              <w:top w:type="dxa" w:w="80"/>
              <w:left w:type="dxa" w:w="100"/>
              <w:bottom w:type="dxa" w:w="80"/>
              <w:right w:type="dxa" w:w="100"/>
            </w:tcMar>
            <w:vAlign w:val="center"/>
          </w:tcPr>
          <w:p>
            <w:pPr>
              <w:jc w:val="left"/>
            </w:pPr>
            <w:r>
              <w:rPr>
                <w:rFonts w:ascii="Calibri" w:cs="Calibri" w:eastAsia="Calibri" w:hAnsi="Calibri"/>
                <w:b w:val="false"/>
                <w:bCs w:val="false"/>
                <w:i w:val="false"/>
                <w:iCs w:val="false"/>
                <w:color w:val="000000"/>
                <w:sz w:val="20"/>
                <w:szCs w:val="20"/>
              </w:rPr>
              <w:t xml:space="preserve">Andoz Rüzgâr Enerjisi Santrali</w:t>
            </w:r>
          </w:p>
        </w:tc>
        <w:tc>
          <w:tcPr>
            <w:tcW w:type="dxa" w:w="2350"/>
            <w:shd w:fill="F2F2F2" w:color="auto" w:val="clear"/>
            <w:tcMar>
              <w:top w:type="dxa" w:w="80"/>
              <w:left w:type="dxa" w:w="100"/>
              <w:bottom w:type="dxa" w:w="80"/>
              <w:right w:type="dxa" w:w="100"/>
            </w:tcMar>
            <w:vAlign w:val="center"/>
          </w:tcPr>
          <w:p>
            <w:pPr>
              <w:jc w:val="center"/>
            </w:pPr>
            <w:r>
              <w:rPr>
                <w:rFonts w:ascii="Calibri" w:cs="Calibri" w:eastAsia="Calibri" w:hAnsi="Calibri"/>
                <w:b w:val="false"/>
                <w:bCs w:val="false"/>
                <w:i w:val="false"/>
                <w:iCs w:val="false"/>
                <w:color w:val="000000"/>
                <w:sz w:val="20"/>
                <w:szCs w:val="20"/>
              </w:rPr>
              <w:t xml:space="preserve">Adana</w:t>
            </w:r>
          </w:p>
        </w:tc>
        <w:tc>
          <w:tcPr>
            <w:tcW w:type="dxa" w:w="2400"/>
            <w:shd w:fill="F2F2F2" w:color="auto" w:val="clear"/>
            <w:tcMar>
              <w:top w:type="dxa" w:w="80"/>
              <w:left w:type="dxa" w:w="100"/>
              <w:bottom w:type="dxa" w:w="80"/>
              <w:right w:type="dxa" w:w="100"/>
            </w:tcMar>
            <w:vAlign w:val="center"/>
          </w:tcPr>
          <w:p>
            <w:pPr>
              <w:jc w:val="center"/>
            </w:pPr>
            <w:r>
              <w:rPr>
                <w:rFonts w:ascii="Calibri" w:cs="Calibri" w:eastAsia="Calibri" w:hAnsi="Calibri"/>
                <w:b w:val="false"/>
                <w:bCs w:val="false"/>
                <w:i w:val="false"/>
                <w:iCs w:val="false"/>
                <w:color w:val="000000"/>
                <w:sz w:val="20"/>
                <w:szCs w:val="20"/>
              </w:rPr>
              <w:t xml:space="preserve">32 MW</w:t>
            </w:r>
          </w:p>
        </w:tc>
      </w:tr>
      <w:tr>
        <w:tc>
          <w:tcPr>
            <w:tcW w:type="dxa" w:w="2000"/>
            <w:shd w:fill="FFFFFF" w:color="auto" w:val="clear"/>
            <w:tcMar>
              <w:top w:type="dxa" w:w="80"/>
              <w:left w:type="dxa" w:w="100"/>
              <w:bottom w:type="dxa" w:w="80"/>
              <w:right w:type="dxa" w:w="100"/>
            </w:tcMar>
            <w:vAlign w:val="center"/>
          </w:tcPr>
          <w:p>
            <w:pPr>
              <w:jc w:val="center"/>
            </w:pPr>
            <w:r>
              <w:rPr>
                <w:rFonts w:ascii="Calibri" w:cs="Calibri" w:eastAsia="Calibri" w:hAnsi="Calibri"/>
                <w:b w:val="false"/>
                <w:bCs w:val="false"/>
                <w:i w:val="false"/>
                <w:iCs w:val="false"/>
                <w:color w:val="000000"/>
                <w:sz w:val="20"/>
                <w:szCs w:val="20"/>
              </w:rPr>
              <w:t xml:space="preserve">Biyogaz</w:t>
            </w:r>
          </w:p>
        </w:tc>
        <w:tc>
          <w:tcPr>
            <w:tcW w:type="dxa" w:w="2600"/>
            <w:shd w:fill="FFFFFF" w:color="auto" w:val="clear"/>
            <w:tcMar>
              <w:top w:type="dxa" w:w="80"/>
              <w:left w:type="dxa" w:w="100"/>
              <w:bottom w:type="dxa" w:w="80"/>
              <w:right w:type="dxa" w:w="100"/>
            </w:tcMar>
            <w:vAlign w:val="center"/>
          </w:tcPr>
          <w:p>
            <w:pPr>
              <w:jc w:val="left"/>
            </w:pPr>
            <w:r>
              <w:rPr>
                <w:rFonts w:ascii="Calibri" w:cs="Calibri" w:eastAsia="Calibri" w:hAnsi="Calibri"/>
                <w:b w:val="false"/>
                <w:bCs w:val="false"/>
                <w:i w:val="false"/>
                <w:iCs w:val="false"/>
                <w:color w:val="000000"/>
                <w:sz w:val="20"/>
                <w:szCs w:val="20"/>
              </w:rPr>
              <w:t xml:space="preserve">Sofulu Çöplüğü Biyogaz Santrali</w:t>
            </w:r>
          </w:p>
        </w:tc>
        <w:tc>
          <w:tcPr>
            <w:tcW w:type="dxa" w:w="2350"/>
            <w:shd w:fill="FFFFFF" w:color="auto" w:val="clear"/>
            <w:tcMar>
              <w:top w:type="dxa" w:w="80"/>
              <w:left w:type="dxa" w:w="100"/>
              <w:bottom w:type="dxa" w:w="80"/>
              <w:right w:type="dxa" w:w="100"/>
            </w:tcMar>
            <w:vAlign w:val="center"/>
          </w:tcPr>
          <w:p>
            <w:pPr>
              <w:jc w:val="center"/>
            </w:pPr>
            <w:r>
              <w:rPr>
                <w:rFonts w:ascii="Calibri" w:cs="Calibri" w:eastAsia="Calibri" w:hAnsi="Calibri"/>
                <w:b w:val="false"/>
                <w:bCs w:val="false"/>
                <w:i w:val="false"/>
                <w:iCs w:val="false"/>
                <w:color w:val="000000"/>
                <w:sz w:val="20"/>
                <w:szCs w:val="20"/>
              </w:rPr>
              <w:t xml:space="preserve">Adana</w:t>
            </w:r>
          </w:p>
        </w:tc>
        <w:tc>
          <w:tcPr>
            <w:tcW w:type="dxa" w:w="2400"/>
            <w:shd w:fill="FFFFFF" w:color="auto" w:val="clear"/>
            <w:tcMar>
              <w:top w:type="dxa" w:w="80"/>
              <w:left w:type="dxa" w:w="100"/>
              <w:bottom w:type="dxa" w:w="80"/>
              <w:right w:type="dxa" w:w="100"/>
            </w:tcMar>
            <w:vAlign w:val="center"/>
          </w:tcPr>
          <w:p>
            <w:pPr>
              <w:jc w:val="center"/>
            </w:pPr>
            <w:r>
              <w:rPr>
                <w:rFonts w:ascii="Calibri" w:cs="Calibri" w:eastAsia="Calibri" w:hAnsi="Calibri"/>
                <w:b w:val="false"/>
                <w:bCs w:val="false"/>
                <w:i w:val="false"/>
                <w:iCs w:val="false"/>
                <w:color w:val="000000"/>
                <w:sz w:val="20"/>
                <w:szCs w:val="20"/>
              </w:rPr>
              <w:t xml:space="preserve">16 MW</w:t>
            </w:r>
          </w:p>
        </w:tc>
      </w:tr>
      <w:tr>
        <w:tc>
          <w:tcPr>
            <w:tcW w:type="dxa" w:w="2000"/>
            <w:shd w:fill="F2F2F2" w:color="auto" w:val="clear"/>
            <w:tcMar>
              <w:top w:type="dxa" w:w="80"/>
              <w:left w:type="dxa" w:w="100"/>
              <w:bottom w:type="dxa" w:w="80"/>
              <w:right w:type="dxa" w:w="100"/>
            </w:tcMar>
            <w:vAlign w:val="center"/>
          </w:tcPr>
          <w:p>
            <w:pPr>
              <w:jc w:val="center"/>
            </w:pPr>
            <w:r>
              <w:rPr>
                <w:rFonts w:ascii="Calibri" w:cs="Calibri" w:eastAsia="Calibri" w:hAnsi="Calibri"/>
                <w:b w:val="false"/>
                <w:bCs w:val="false"/>
                <w:i w:val="false"/>
                <w:iCs w:val="false"/>
                <w:color w:val="000000"/>
                <w:sz w:val="20"/>
                <w:szCs w:val="20"/>
              </w:rPr>
              <w:t xml:space="preserve">Biyokütle</w:t>
            </w:r>
          </w:p>
        </w:tc>
        <w:tc>
          <w:tcPr>
            <w:tcW w:type="dxa" w:w="2600"/>
            <w:shd w:fill="F2F2F2" w:color="auto" w:val="clear"/>
            <w:tcMar>
              <w:top w:type="dxa" w:w="80"/>
              <w:left w:type="dxa" w:w="100"/>
              <w:bottom w:type="dxa" w:w="80"/>
              <w:right w:type="dxa" w:w="100"/>
            </w:tcMar>
            <w:vAlign w:val="center"/>
          </w:tcPr>
          <w:p>
            <w:pPr>
              <w:jc w:val="left"/>
            </w:pPr>
            <w:r>
              <w:rPr>
                <w:rFonts w:ascii="Calibri" w:cs="Calibri" w:eastAsia="Calibri" w:hAnsi="Calibri"/>
                <w:b w:val="false"/>
                <w:bCs w:val="false"/>
                <w:i w:val="false"/>
                <w:iCs w:val="false"/>
                <w:color w:val="000000"/>
                <w:sz w:val="20"/>
                <w:szCs w:val="20"/>
              </w:rPr>
              <w:t xml:space="preserve">Yüreğir Biyokütle Santralleri</w:t>
            </w:r>
          </w:p>
        </w:tc>
        <w:tc>
          <w:tcPr>
            <w:tcW w:type="dxa" w:w="2350"/>
            <w:shd w:fill="F2F2F2" w:color="auto" w:val="clear"/>
            <w:tcMar>
              <w:top w:type="dxa" w:w="80"/>
              <w:left w:type="dxa" w:w="100"/>
              <w:bottom w:type="dxa" w:w="80"/>
              <w:right w:type="dxa" w:w="100"/>
            </w:tcMar>
            <w:vAlign w:val="center"/>
          </w:tcPr>
          <w:p>
            <w:pPr>
              <w:jc w:val="center"/>
            </w:pPr>
            <w:r>
              <w:rPr>
                <w:rFonts w:ascii="Calibri" w:cs="Calibri" w:eastAsia="Calibri" w:hAnsi="Calibri"/>
                <w:b w:val="false"/>
                <w:bCs w:val="false"/>
                <w:i w:val="false"/>
                <w:iCs w:val="false"/>
                <w:color w:val="000000"/>
                <w:sz w:val="20"/>
                <w:szCs w:val="20"/>
              </w:rPr>
              <w:t xml:space="preserve">Yüreğir</w:t>
            </w:r>
          </w:p>
        </w:tc>
        <w:tc>
          <w:tcPr>
            <w:tcW w:type="dxa" w:w="2400"/>
            <w:shd w:fill="F2F2F2" w:color="auto" w:val="clear"/>
            <w:tcMar>
              <w:top w:type="dxa" w:w="80"/>
              <w:left w:type="dxa" w:w="100"/>
              <w:bottom w:type="dxa" w:w="80"/>
              <w:right w:type="dxa" w:w="100"/>
            </w:tcMar>
            <w:vAlign w:val="center"/>
          </w:tcPr>
          <w:p>
            <w:pPr>
              <w:jc w:val="center"/>
            </w:pPr>
            <w:r>
              <w:rPr>
                <w:rFonts w:ascii="Calibri" w:cs="Calibri" w:eastAsia="Calibri" w:hAnsi="Calibri"/>
                <w:b w:val="false"/>
                <w:bCs w:val="false"/>
                <w:i w:val="false"/>
                <w:iCs w:val="false"/>
                <w:color w:val="000000"/>
                <w:sz w:val="20"/>
                <w:szCs w:val="20"/>
              </w:rPr>
              <w:t xml:space="preserve">~26 MW (toplam)</w:t>
            </w:r>
          </w:p>
        </w:tc>
      </w:tr>
      <w:tr>
        <w:tc>
          <w:tcPr>
            <w:tcW w:type="dxa" w:w="2000"/>
            <w:shd w:fill="FFFFFF" w:color="auto" w:val="clear"/>
            <w:tcMar>
              <w:top w:type="dxa" w:w="80"/>
              <w:left w:type="dxa" w:w="100"/>
              <w:bottom w:type="dxa" w:w="80"/>
              <w:right w:type="dxa" w:w="100"/>
            </w:tcMar>
            <w:vAlign w:val="center"/>
          </w:tcPr>
          <w:p>
            <w:pPr>
              <w:jc w:val="center"/>
            </w:pPr>
            <w:r>
              <w:rPr>
                <w:rFonts w:ascii="Calibri" w:cs="Calibri" w:eastAsia="Calibri" w:hAnsi="Calibri"/>
                <w:b w:val="false"/>
                <w:bCs w:val="false"/>
                <w:i w:val="false"/>
                <w:iCs w:val="false"/>
                <w:color w:val="000000"/>
                <w:sz w:val="20"/>
                <w:szCs w:val="20"/>
              </w:rPr>
              <w:t xml:space="preserve">Petrol (Transit/Depolama)</w:t>
            </w:r>
          </w:p>
        </w:tc>
        <w:tc>
          <w:tcPr>
            <w:tcW w:type="dxa" w:w="2600"/>
            <w:shd w:fill="FFFFFF" w:color="auto" w:val="clear"/>
            <w:tcMar>
              <w:top w:type="dxa" w:w="80"/>
              <w:left w:type="dxa" w:w="100"/>
              <w:bottom w:type="dxa" w:w="80"/>
              <w:right w:type="dxa" w:w="100"/>
            </w:tcMar>
            <w:vAlign w:val="center"/>
          </w:tcPr>
          <w:p>
            <w:pPr>
              <w:jc w:val="left"/>
            </w:pPr>
            <w:r>
              <w:rPr>
                <w:rFonts w:ascii="Calibri" w:cs="Calibri" w:eastAsia="Calibri" w:hAnsi="Calibri"/>
                <w:b w:val="false"/>
                <w:bCs w:val="false"/>
                <w:i w:val="false"/>
                <w:iCs w:val="false"/>
                <w:color w:val="000000"/>
                <w:sz w:val="20"/>
                <w:szCs w:val="20"/>
              </w:rPr>
              <w:t xml:space="preserve">Ceyhan/Yumurtalık Petrol Terminali (BTC + Kerkük-Yumurtalık)</w:t>
            </w:r>
          </w:p>
        </w:tc>
        <w:tc>
          <w:tcPr>
            <w:tcW w:type="dxa" w:w="2350"/>
            <w:shd w:fill="FFFFFF" w:color="auto" w:val="clear"/>
            <w:tcMar>
              <w:top w:type="dxa" w:w="80"/>
              <w:left w:type="dxa" w:w="100"/>
              <w:bottom w:type="dxa" w:w="80"/>
              <w:right w:type="dxa" w:w="100"/>
            </w:tcMar>
            <w:vAlign w:val="center"/>
          </w:tcPr>
          <w:p>
            <w:pPr>
              <w:jc w:val="center"/>
            </w:pPr>
            <w:r>
              <w:rPr>
                <w:rFonts w:ascii="Calibri" w:cs="Calibri" w:eastAsia="Calibri" w:hAnsi="Calibri"/>
                <w:b w:val="false"/>
                <w:bCs w:val="false"/>
                <w:i w:val="false"/>
                <w:iCs w:val="false"/>
                <w:color w:val="000000"/>
                <w:sz w:val="20"/>
                <w:szCs w:val="20"/>
              </w:rPr>
              <w:t xml:space="preserve">Ceyhan / Yumurtalık</w:t>
            </w:r>
          </w:p>
        </w:tc>
        <w:tc>
          <w:tcPr>
            <w:tcW w:type="dxa" w:w="2400"/>
            <w:shd w:fill="FFFFFF" w:color="auto" w:val="clear"/>
            <w:tcMar>
              <w:top w:type="dxa" w:w="80"/>
              <w:left w:type="dxa" w:w="100"/>
              <w:bottom w:type="dxa" w:w="80"/>
              <w:right w:type="dxa" w:w="100"/>
            </w:tcMar>
            <w:vAlign w:val="center"/>
          </w:tcPr>
          <w:p>
            <w:pPr>
              <w:jc w:val="center"/>
            </w:pPr>
            <w:r>
              <w:rPr>
                <w:rFonts w:ascii="Calibri" w:cs="Calibri" w:eastAsia="Calibri" w:hAnsi="Calibri"/>
                <w:b w:val="false"/>
                <w:bCs w:val="false"/>
                <w:i w:val="false"/>
                <w:iCs w:val="false"/>
                <w:color w:val="000000"/>
                <w:sz w:val="20"/>
                <w:szCs w:val="20"/>
              </w:rPr>
              <w:t xml:space="preserve">Milyonlarca varil depolama kapasitesi</w:t>
            </w:r>
          </w:p>
        </w:tc>
      </w:tr>
    </w:tbl>
    <w:p>
      <w:pPr>
        <w:spacing w:after="200" w:before="100"/>
      </w:pPr>
      <w:r>
        <w:rPr>
          <w:rFonts w:ascii="Calibri" w:cs="Calibri" w:eastAsia="Calibri" w:hAnsi="Calibri"/>
          <w:i/>
          <w:iCs/>
          <w:color w:val="595959"/>
          <w:sz w:val="17"/>
          <w:szCs w:val="17"/>
        </w:rPr>
        <w:t xml:space="preserve">Not: Değerler, Enerji Atlası (enerjiatlasi.com) üzerinde listelenen başlıca tesislere dayanmaktadır; bölgedeki tüm küçük ölçekli tesisleri kapsamayabilir.</w:t>
      </w:r>
    </w:p>
    <w:p>
      <w:pPr>
        <w:pBdr>
          <w:bottom w:val="single" w:color="1F3864" w:sz="14" w:space="5"/>
        </w:pBdr>
        <w:spacing w:after="140" w:before="300"/>
      </w:pPr>
      <w:r>
        <w:rPr>
          <w:rFonts w:ascii="Calibri" w:cs="Calibri" w:eastAsia="Calibri" w:hAnsi="Calibri"/>
          <w:b/>
          <w:bCs/>
          <w:color w:val="1F3864"/>
          <w:sz w:val="28"/>
          <w:szCs w:val="28"/>
        </w:rPr>
        <w:t xml:space="preserve">5. Kaynak Türüne Göre Kurulu Güç Dağılımı</w:t>
      </w:r>
    </w:p>
    <w:p>
      <w:pPr>
        <w:jc w:val="center"/>
      </w:pPr>
      <w:r>
        <w:drawing>
          <wp:inline distT="0" distB="0" distL="0" distR="0">
            <wp:extent cx="4572000" cy="2447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572000" cy="2447925"/>
                    </a:xfrm>
                    <a:prstGeom prst="rect">
                      <a:avLst/>
                    </a:prstGeom>
                  </pic:spPr>
                </pic:pic>
              </a:graphicData>
            </a:graphic>
          </wp:inline>
        </w:drawing>
      </w:r>
    </w:p>
    <w:p>
      <w:pPr>
        <w:spacing w:before="140"/>
      </w:pPr>
    </w:p>
    <w:p>
      <w:pPr>
        <w:spacing w:after="140"/>
        <w:jc w:val="both"/>
      </w:pPr>
      <w:r>
        <w:rPr>
          <w:rFonts w:ascii="Calibri" w:cs="Calibri" w:eastAsia="Calibri" w:hAnsi="Calibri"/>
          <w:color w:val="262626"/>
          <w:sz w:val="21"/>
          <w:szCs w:val="21"/>
        </w:rPr>
        <w:t xml:space="preserve">Grafikten görülebileceği gibi, Adana ilinde toplam kurulu güç açısından hâlâ kömüre dayalı termik santraller önde gelmektedir; ancak hidroelektrik kapasitesi de oldukça yüksektir. Güneş, rüzgâr ve biyokütle/biyogaz kaynaklı üretim ise şu an için toplam kapasite içinde daha küçük bir paya sahiptir, fakat bölgenin coğrafi koşulları bu kaynakların büyüme potansiyelinin yüksek olduğunu göstermektedir.</w:t>
      </w:r>
    </w:p>
    <w:p>
      <w:pPr>
        <w:pBdr>
          <w:bottom w:val="single" w:color="1F3864" w:sz="14" w:space="5"/>
        </w:pBdr>
        <w:spacing w:after="140" w:before="300"/>
      </w:pPr>
      <w:r>
        <w:rPr>
          <w:rFonts w:ascii="Calibri" w:cs="Calibri" w:eastAsia="Calibri" w:hAnsi="Calibri"/>
          <w:b/>
          <w:bCs/>
          <w:color w:val="1F3864"/>
          <w:sz w:val="28"/>
          <w:szCs w:val="28"/>
        </w:rPr>
        <w:t xml:space="preserve">6. Ceyhan'ın Bölgesel Enerji Üssü Konumu</w:t>
      </w:r>
    </w:p>
    <w:p>
      <w:pPr>
        <w:jc w:val="center"/>
      </w:pPr>
      <w:r>
        <w:drawing>
          <wp:inline distT="0" distB="0" distL="0" distR="0">
            <wp:extent cx="4572000" cy="2981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572000" cy="2981325"/>
                    </a:xfrm>
                    <a:prstGeom prst="rect">
                      <a:avLst/>
                    </a:prstGeom>
                  </pic:spPr>
                </pic:pic>
              </a:graphicData>
            </a:graphic>
          </wp:inline>
        </w:drawing>
      </w:r>
    </w:p>
    <w:p>
      <w:pPr>
        <w:spacing w:before="140"/>
      </w:pPr>
    </w:p>
    <w:p>
      <w:pPr>
        <w:spacing w:after="140"/>
        <w:jc w:val="both"/>
      </w:pPr>
      <w:r>
        <w:rPr>
          <w:rFonts w:ascii="Calibri" w:cs="Calibri" w:eastAsia="Calibri" w:hAnsi="Calibri"/>
          <w:color w:val="262626"/>
          <w:sz w:val="21"/>
          <w:szCs w:val="21"/>
        </w:rPr>
        <w:t xml:space="preserve">Şemada özetlendiği gibi Ceyhan, yalnızca yerel üretim tesisleriyle değil, aynı zamanda uluslararası petrol boru hatlarının buluşma noktası olmasıyla da öne çıkmaktadır. Bu konum, ilçeyi hem bölgesel hem de küresel ölçekte önemli bir enerji lojistiği merkezine dönüştürmektedir.</w:t>
      </w:r>
    </w:p>
    <w:p>
      <w:r>
        <w:br w:type="page"/>
      </w:r>
    </w:p>
    <w:p>
      <w:pPr>
        <w:shd w:fill="1F3864" w:color="auto" w:val="clear"/>
        <w:spacing w:after="240"/>
        <w:jc w:val="center"/>
      </w:pPr>
      <w:r>
        <w:rPr>
          <w:rFonts w:ascii="Calibri" w:cs="Calibri" w:eastAsia="Calibri" w:hAnsi="Calibri"/>
          <w:b/>
          <w:bCs/>
          <w:color w:val="FFFFFF"/>
          <w:sz w:val="30"/>
          <w:szCs w:val="30"/>
        </w:rPr>
        <w:t xml:space="preserve">SONUÇ - DEĞERLENDİRME</w:t>
      </w:r>
    </w:p>
    <w:p>
      <w:pPr>
        <w:pStyle w:val="ListParagraph"/>
        <w:numPr>
          <w:ilvl w:val="0"/>
          <w:numId w:val="1"/>
        </w:numPr>
        <w:spacing w:after="90"/>
        <w:jc w:val="both"/>
      </w:pPr>
      <w:r>
        <w:rPr>
          <w:rFonts w:ascii="Calibri" w:cs="Calibri" w:eastAsia="Calibri" w:hAnsi="Calibri"/>
          <w:sz w:val="21"/>
          <w:szCs w:val="21"/>
        </w:rPr>
        <w:t xml:space="preserve">Ceyhan/Adana bölgesi, coğrafi çeşitliliği (akarsu ağı, uzun güneşlenme süresi, kıyı rüzgârları, verimli tarım arazileri ve stratejik kıyı konumu) sayesinde hem yenilenebilir hem de yenilenemeyen pek çok farklı enerji biçiminin bir arada üretildiği ya da taşındığı nadir bölgelerden biridir.</w:t>
      </w:r>
    </w:p>
    <w:p>
      <w:pPr>
        <w:pStyle w:val="ListParagraph"/>
        <w:numPr>
          <w:ilvl w:val="0"/>
          <w:numId w:val="1"/>
        </w:numPr>
        <w:spacing w:after="90"/>
        <w:jc w:val="both"/>
      </w:pPr>
      <w:r>
        <w:rPr>
          <w:rFonts w:ascii="Calibri" w:cs="Calibri" w:eastAsia="Calibri" w:hAnsi="Calibri"/>
          <w:sz w:val="21"/>
          <w:szCs w:val="21"/>
        </w:rPr>
        <w:t xml:space="preserve">Bölgede halen en yüksek kurulu güce sahip kaynak, ithal ve yerli kömüre dayalı termik santrallerdir; bunu hidroelektrik santraller izlemektedir. Güneş, rüzgâr ve biyokütle/biyogaz kaynaklı üretim henüz sınırlı olsa da bölgenin doğal koşulları bu alanlarda büyümeye elverişlidir.</w:t>
      </w:r>
    </w:p>
    <w:p>
      <w:pPr>
        <w:pStyle w:val="ListParagraph"/>
        <w:numPr>
          <w:ilvl w:val="0"/>
          <w:numId w:val="1"/>
        </w:numPr>
        <w:spacing w:after="90"/>
        <w:jc w:val="both"/>
      </w:pPr>
      <w:r>
        <w:rPr>
          <w:rFonts w:ascii="Calibri" w:cs="Calibri" w:eastAsia="Calibri" w:hAnsi="Calibri"/>
          <w:sz w:val="21"/>
          <w:szCs w:val="21"/>
        </w:rPr>
        <w:t xml:space="preserve">Ceyhan, yalnızca elektrik üretimi açısından değil, Bakü-Tiflis-Ceyhan ve Kerkük-Yumurtalık ham petrol boru hatlarının bitiş noktası olması nedeniyle uluslararası enerji taşımacılığı ve depolaması açısından da stratejik bir konuma sahiptir.</w:t>
      </w:r>
    </w:p>
    <w:p>
      <w:pPr>
        <w:pStyle w:val="ListParagraph"/>
        <w:numPr>
          <w:ilvl w:val="0"/>
          <w:numId w:val="1"/>
        </w:numPr>
        <w:spacing w:after="90"/>
        <w:jc w:val="both"/>
      </w:pPr>
      <w:r>
        <w:rPr>
          <w:rFonts w:ascii="Calibri" w:cs="Calibri" w:eastAsia="Calibri" w:hAnsi="Calibri"/>
          <w:sz w:val="21"/>
          <w:szCs w:val="21"/>
        </w:rPr>
        <w:t xml:space="preserve">Bölgedeki enerji çeşitliliğinin sürdürülebilir biçimde değerlendirilmesi; hem yerel istihdama hem de Türkiye'nin enerjide dışa bağımlılığının azaltılmasına katkı sağlayabilir. Bu nedenle özellikle güneş, rüzgâr ve biyokütle gibi yenilenebilir kaynaklara yönelik yeni yatırımların artırılması, bölgenin enerji potansiyelinin daha dengeli kullanılmasını sağlayacaktır.</w:t>
      </w:r>
    </w:p>
    <w:p>
      <w:r>
        <w:br w:type="page"/>
      </w:r>
    </w:p>
    <w:p>
      <w:pPr>
        <w:shd w:fill="1F3864" w:color="auto" w:val="clear"/>
        <w:spacing w:after="240"/>
        <w:jc w:val="center"/>
      </w:pPr>
      <w:r>
        <w:rPr>
          <w:rFonts w:ascii="Calibri" w:cs="Calibri" w:eastAsia="Calibri" w:hAnsi="Calibri"/>
          <w:b/>
          <w:bCs/>
          <w:color w:val="FFFFFF"/>
          <w:sz w:val="30"/>
          <w:szCs w:val="30"/>
        </w:rPr>
        <w:t xml:space="preserve">KAYNAKÇA</w:t>
      </w:r>
    </w:p>
    <w:p>
      <w:pPr>
        <w:spacing w:after="130"/>
      </w:pPr>
      <w:r>
        <w:rPr>
          <w:rFonts w:ascii="Calibri" w:cs="Calibri" w:eastAsia="Calibri" w:hAnsi="Calibri"/>
          <w:b/>
          <w:bCs/>
          <w:sz w:val="20"/>
          <w:szCs w:val="20"/>
        </w:rPr>
        <w:t xml:space="preserve">[1] </w:t>
      </w:r>
      <w:r>
        <w:rPr>
          <w:rFonts w:ascii="Calibri" w:cs="Calibri" w:eastAsia="Calibri" w:hAnsi="Calibri"/>
          <w:sz w:val="20"/>
          <w:szCs w:val="20"/>
        </w:rPr>
        <w:t xml:space="preserve">Enerji Atlası, "Adana Elektrik Santralleri", erişim tarihi Eylül 2026. </w:t>
      </w:r>
      <w:hyperlink w:history="1" r:id="rIdr7infansa5lhp2witmkg6">
        <w:r>
          <w:rPr>
            <w:rFonts w:ascii="Calibri" w:cs="Calibri" w:eastAsia="Calibri" w:hAnsi="Calibri"/>
            <w:color w:val="1155CC"/>
            <w:sz w:val="20"/>
            <w:szCs w:val="20"/>
            <w:u w:val="single"/>
          </w:rPr>
          <w:t xml:space="preserve">https://www.enerjiatlasi.com/sehir/adana/</w:t>
        </w:r>
      </w:hyperlink>
    </w:p>
    <w:p>
      <w:pPr>
        <w:spacing w:after="130"/>
      </w:pPr>
      <w:r>
        <w:rPr>
          <w:rFonts w:ascii="Calibri" w:cs="Calibri" w:eastAsia="Calibri" w:hAnsi="Calibri"/>
          <w:b/>
          <w:bCs/>
          <w:sz w:val="20"/>
          <w:szCs w:val="20"/>
        </w:rPr>
        <w:t xml:space="preserve">[2] </w:t>
      </w:r>
      <w:r>
        <w:rPr>
          <w:rFonts w:ascii="Calibri" w:cs="Calibri" w:eastAsia="Calibri" w:hAnsi="Calibri"/>
          <w:sz w:val="20"/>
          <w:szCs w:val="20"/>
        </w:rPr>
        <w:t xml:space="preserve">Enerji Atlası, "Adana HES Potansiyeli Haritası", erişim tarihi Eylül 2026. </w:t>
      </w:r>
      <w:hyperlink w:history="1" r:id="rIdejiy3fv6uj0m6lrdgxymg">
        <w:r>
          <w:rPr>
            <w:rFonts w:ascii="Calibri" w:cs="Calibri" w:eastAsia="Calibri" w:hAnsi="Calibri"/>
            <w:color w:val="1155CC"/>
            <w:sz w:val="20"/>
            <w:szCs w:val="20"/>
            <w:u w:val="single"/>
          </w:rPr>
          <w:t xml:space="preserve">https://www.enerjiatlasi.com/hes-haritasi/adana</w:t>
        </w:r>
      </w:hyperlink>
    </w:p>
    <w:p>
      <w:pPr>
        <w:spacing w:after="130"/>
      </w:pPr>
      <w:r>
        <w:rPr>
          <w:rFonts w:ascii="Calibri" w:cs="Calibri" w:eastAsia="Calibri" w:hAnsi="Calibri"/>
          <w:b/>
          <w:bCs/>
          <w:sz w:val="20"/>
          <w:szCs w:val="20"/>
        </w:rPr>
        <w:t xml:space="preserve">[3] </w:t>
      </w:r>
      <w:r>
        <w:rPr>
          <w:rFonts w:ascii="Calibri" w:cs="Calibri" w:eastAsia="Calibri" w:hAnsi="Calibri"/>
          <w:sz w:val="20"/>
          <w:szCs w:val="20"/>
        </w:rPr>
        <w:t xml:space="preserve">Enerji Atlası, "Seyhan Barajı ve HES", erişim tarihi Eylül 2026. </w:t>
      </w:r>
      <w:hyperlink w:history="1" r:id="rId7ztwxcccvyv0qhmizht1i">
        <w:r>
          <w:rPr>
            <w:rFonts w:ascii="Calibri" w:cs="Calibri" w:eastAsia="Calibri" w:hAnsi="Calibri"/>
            <w:color w:val="1155CC"/>
            <w:sz w:val="20"/>
            <w:szCs w:val="20"/>
            <w:u w:val="single"/>
          </w:rPr>
          <w:t xml:space="preserve">https://www.enerjiatlasi.com/hidroelektrik/seyhan-baraji.html</w:t>
        </w:r>
      </w:hyperlink>
    </w:p>
    <w:p>
      <w:pPr>
        <w:spacing w:after="130"/>
      </w:pPr>
      <w:r>
        <w:rPr>
          <w:rFonts w:ascii="Calibri" w:cs="Calibri" w:eastAsia="Calibri" w:hAnsi="Calibri"/>
          <w:b/>
          <w:bCs/>
          <w:sz w:val="20"/>
          <w:szCs w:val="20"/>
        </w:rPr>
        <w:t xml:space="preserve">[4] </w:t>
      </w:r>
      <w:r>
        <w:rPr>
          <w:rFonts w:ascii="Calibri" w:cs="Calibri" w:eastAsia="Calibri" w:hAnsi="Calibri"/>
          <w:sz w:val="20"/>
          <w:szCs w:val="20"/>
        </w:rPr>
        <w:t xml:space="preserve">Kıvanç Solar, "Enerji Santralleri - Gündoğan Güneş Enerji Santrali", erişim tarihi Eylül 2026. </w:t>
      </w:r>
      <w:hyperlink w:history="1" r:id="rIdy-gpqsqp0punh6b-y05nm">
        <w:r>
          <w:rPr>
            <w:rFonts w:ascii="Calibri" w:cs="Calibri" w:eastAsia="Calibri" w:hAnsi="Calibri"/>
            <w:color w:val="1155CC"/>
            <w:sz w:val="20"/>
            <w:szCs w:val="20"/>
            <w:u w:val="single"/>
          </w:rPr>
          <w:t xml:space="preserve">https://www.kivancsolar.com/blog/enerji-santralleri</w:t>
        </w:r>
      </w:hyperlink>
    </w:p>
    <w:p>
      <w:pPr>
        <w:spacing w:after="130"/>
      </w:pPr>
      <w:r>
        <w:rPr>
          <w:rFonts w:ascii="Calibri" w:cs="Calibri" w:eastAsia="Calibri" w:hAnsi="Calibri"/>
          <w:b/>
          <w:bCs/>
          <w:sz w:val="20"/>
          <w:szCs w:val="20"/>
        </w:rPr>
        <w:t xml:space="preserve">[5] </w:t>
      </w:r>
      <w:r>
        <w:rPr>
          <w:rFonts w:ascii="Calibri" w:cs="Calibri" w:eastAsia="Calibri" w:hAnsi="Calibri"/>
          <w:sz w:val="20"/>
          <w:szCs w:val="20"/>
        </w:rPr>
        <w:t xml:space="preserve">Adana Büyükşehir Belediyesi, "İklim Değişikliği ve Temiz Enerji Şube Müdürlüğü", erişim tarihi Eylül 2026. </w:t>
      </w:r>
      <w:hyperlink w:history="1" r:id="rIdwcu2poqv98ziodous7ifp">
        <w:r>
          <w:rPr>
            <w:rFonts w:ascii="Calibri" w:cs="Calibri" w:eastAsia="Calibri" w:hAnsi="Calibri"/>
            <w:color w:val="1155CC"/>
            <w:sz w:val="20"/>
            <w:szCs w:val="20"/>
            <w:u w:val="single"/>
          </w:rPr>
          <w:t xml:space="preserve">https://www.adana.bel.tr/tr/birim-detay/208</w:t>
        </w:r>
      </w:hyperlink>
    </w:p>
    <w:p>
      <w:pPr>
        <w:spacing w:after="130"/>
      </w:pPr>
      <w:r>
        <w:rPr>
          <w:rFonts w:ascii="Calibri" w:cs="Calibri" w:eastAsia="Calibri" w:hAnsi="Calibri"/>
          <w:b/>
          <w:bCs/>
          <w:sz w:val="20"/>
          <w:szCs w:val="20"/>
        </w:rPr>
        <w:t xml:space="preserve">[6] </w:t>
      </w:r>
      <w:r>
        <w:rPr>
          <w:rFonts w:ascii="Calibri" w:cs="Calibri" w:eastAsia="Calibri" w:hAnsi="Calibri"/>
          <w:sz w:val="20"/>
          <w:szCs w:val="20"/>
        </w:rPr>
        <w:t xml:space="preserve">Wikipedia, "Baku–Tbilisi–Ceyhan pipeline", erişim tarihi Eylül 2026. </w:t>
      </w:r>
      <w:hyperlink w:history="1" r:id="rIdlrqctdp-eulimpkmprjgz">
        <w:r>
          <w:rPr>
            <w:rFonts w:ascii="Calibri" w:cs="Calibri" w:eastAsia="Calibri" w:hAnsi="Calibri"/>
            <w:color w:val="1155CC"/>
            <w:sz w:val="20"/>
            <w:szCs w:val="20"/>
            <w:u w:val="single"/>
          </w:rPr>
          <w:t xml:space="preserve">https://en.wikipedia.org/wiki/Baku%E2%80%93Tbilisi%E2%80%93Ceyhan_pipeline</w:t>
        </w:r>
      </w:hyperlink>
    </w:p>
    <w:p>
      <w:pPr>
        <w:spacing w:after="130"/>
      </w:pPr>
      <w:r>
        <w:rPr>
          <w:rFonts w:ascii="Calibri" w:cs="Calibri" w:eastAsia="Calibri" w:hAnsi="Calibri"/>
          <w:b/>
          <w:bCs/>
          <w:sz w:val="20"/>
          <w:szCs w:val="20"/>
        </w:rPr>
        <w:t xml:space="preserve">[7] </w:t>
      </w:r>
      <w:r>
        <w:rPr>
          <w:rFonts w:ascii="Calibri" w:cs="Calibri" w:eastAsia="Calibri" w:hAnsi="Calibri"/>
          <w:sz w:val="20"/>
          <w:szCs w:val="20"/>
        </w:rPr>
        <w:t xml:space="preserve">Wikipedia, "Ceyhan–Kırıkkale Oil Pipeline", erişim tarihi Eylül 2026. </w:t>
      </w:r>
      <w:hyperlink w:history="1" r:id="rIdxbxfxmh1mgkr_48ixncmu">
        <w:r>
          <w:rPr>
            <w:rFonts w:ascii="Calibri" w:cs="Calibri" w:eastAsia="Calibri" w:hAnsi="Calibri"/>
            <w:color w:val="1155CC"/>
            <w:sz w:val="20"/>
            <w:szCs w:val="20"/>
            <w:u w:val="single"/>
          </w:rPr>
          <w:t xml:space="preserve">https://en.wikipedia.org/wiki/Ceyhan-K%C4%B1r%C4%B1kkale_Oil_Pipeline</w:t>
        </w:r>
      </w:hyperlink>
    </w:p>
    <w:p>
      <w:pPr>
        <w:spacing w:after="130"/>
      </w:pPr>
      <w:r>
        <w:rPr>
          <w:rFonts w:ascii="Calibri" w:cs="Calibri" w:eastAsia="Calibri" w:hAnsi="Calibri"/>
          <w:b/>
          <w:bCs/>
          <w:sz w:val="20"/>
          <w:szCs w:val="20"/>
        </w:rPr>
        <w:t xml:space="preserve">[8] </w:t>
      </w:r>
      <w:r>
        <w:rPr>
          <w:rFonts w:ascii="Calibri" w:cs="Calibri" w:eastAsia="Calibri" w:hAnsi="Calibri"/>
          <w:sz w:val="20"/>
          <w:szCs w:val="20"/>
        </w:rPr>
        <w:t xml:space="preserve">Gazete Vatan, "Ceyhan-Yumurtalık dev bir enerji ve sanayi hub'ına dönüşüyor", 2026. </w:t>
      </w:r>
      <w:hyperlink w:history="1" r:id="rId8tzxm9ia7uqzcp6x7cpzk">
        <w:r>
          <w:rPr>
            <w:rFonts w:ascii="Calibri" w:cs="Calibri" w:eastAsia="Calibri" w:hAnsi="Calibri"/>
            <w:color w:val="1155CC"/>
            <w:sz w:val="20"/>
            <w:szCs w:val="20"/>
            <w:u w:val="single"/>
          </w:rPr>
          <w:t xml:space="preserve">https://www.gazetevatan.com/galeri/ceyhan-yumurtalik-dev-bir-enerji-ve-sanayi-hubina-donusuyor-turkiyenin-rotterdami-olabilir-2396579</w:t>
        </w:r>
      </w:hyperlink>
    </w:p>
    <w:p>
      <w:pPr>
        <w:spacing w:after="130"/>
      </w:pPr>
      <w:r>
        <w:rPr>
          <w:rFonts w:ascii="Calibri" w:cs="Calibri" w:eastAsia="Calibri" w:hAnsi="Calibri"/>
          <w:b/>
          <w:bCs/>
          <w:sz w:val="20"/>
          <w:szCs w:val="20"/>
        </w:rPr>
        <w:t xml:space="preserve">[9] </w:t>
      </w:r>
      <w:r>
        <w:rPr>
          <w:rFonts w:ascii="Calibri" w:cs="Calibri" w:eastAsia="Calibri" w:hAnsi="Calibri"/>
          <w:sz w:val="20"/>
          <w:szCs w:val="20"/>
        </w:rPr>
        <w:t xml:space="preserve">Wikipedia, "Adana", erişim tarihi Eylül 2026. </w:t>
      </w:r>
      <w:hyperlink w:history="1" r:id="rIdbr3f5wfdqkgniebqopm6d">
        <w:r>
          <w:rPr>
            <w:rFonts w:ascii="Calibri" w:cs="Calibri" w:eastAsia="Calibri" w:hAnsi="Calibri"/>
            <w:color w:val="1155CC"/>
            <w:sz w:val="20"/>
            <w:szCs w:val="20"/>
            <w:u w:val="single"/>
          </w:rPr>
          <w:t xml:space="preserve">https://en.wikipedia.org/wiki/Adana</w:t>
        </w:r>
      </w:hyperlink>
    </w:p>
    <w:sectPr>
      <w:footerReference w:type="default" r:id="rId7"/>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95959"/>
        <w:sz w:val="16"/>
        <w:szCs w:val="16"/>
      </w:rPr>
      <w:t xml:space="preserve">Sayfa </w:t>
    </w:r>
    <w:r>
      <w:rPr>
        <w:rFonts w:ascii="Calibri" w:cs="Calibri" w:eastAsia="Calibri" w:hAnsi="Calibri"/>
        <w:color w:val="595959"/>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7infansa5lhp2witmkg6" Type="http://schemas.openxmlformats.org/officeDocument/2006/relationships/hyperlink" Target="https://www.enerjiatlasi.com/sehir/adana/" TargetMode="External"/><Relationship Id="rIdejiy3fv6uj0m6lrdgxymg" Type="http://schemas.openxmlformats.org/officeDocument/2006/relationships/hyperlink" Target="https://www.enerjiatlasi.com/hes-haritasi/adana" TargetMode="External"/><Relationship Id="rId7ztwxcccvyv0qhmizht1i" Type="http://schemas.openxmlformats.org/officeDocument/2006/relationships/hyperlink" Target="https://www.enerjiatlasi.com/hidroelektrik/seyhan-baraji.html" TargetMode="External"/><Relationship Id="rIdy-gpqsqp0punh6b-y05nm" Type="http://schemas.openxmlformats.org/officeDocument/2006/relationships/hyperlink" Target="https://www.kivancsolar.com/blog/enerji-santralleri" TargetMode="External"/><Relationship Id="rIdwcu2poqv98ziodous7ifp" Type="http://schemas.openxmlformats.org/officeDocument/2006/relationships/hyperlink" Target="https://www.adana.bel.tr/tr/birim-detay/208" TargetMode="External"/><Relationship Id="rIdlrqctdp-eulimpkmprjgz" Type="http://schemas.openxmlformats.org/officeDocument/2006/relationships/hyperlink" Target="https://en.wikipedia.org/wiki/Baku%E2%80%93Tbilisi%E2%80%93Ceyhan_pipeline" TargetMode="External"/><Relationship Id="rIdxbxfxmh1mgkr_48ixncmu" Type="http://schemas.openxmlformats.org/officeDocument/2006/relationships/hyperlink" Target="https://en.wikipedia.org/wiki/Ceyhan-K%C4%B1r%C4%B1kkale_Oil_Pipeline" TargetMode="External"/><Relationship Id="rId8tzxm9ia7uqzcp6x7cpzk" Type="http://schemas.openxmlformats.org/officeDocument/2006/relationships/hyperlink" Target="https://www.gazetevatan.com/galeri/ceyhan-yumurtalik-dev-bir-enerji-ve-sanayi-hubina-donusuyor-turkiyenin-rotterdami-olabilir-2396579" TargetMode="External"/><Relationship Id="rIdbr3f5wfdqkgniebqopm6d" Type="http://schemas.openxmlformats.org/officeDocument/2006/relationships/hyperlink" Target="https://en.wikipedia.org/wiki/Adana" TargetMode="External"/><Relationship Id="rId8" Type="http://schemas.openxmlformats.org/officeDocument/2006/relationships/image" Target="media/0813fe031ccb0a62199e0f31d6a3595cb7a04fab.png"/><Relationship Id="rId9" Type="http://schemas.openxmlformats.org/officeDocument/2006/relationships/image" Target="media/ee58584ff38a7c25fc5f51654211529031719852.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2026-09-03T19:26:50.400Z</dcterms:created>
  <dcterms:modified xsi:type="dcterms:W3CDTF">2026-09-03T19:26:50.411Z</dcterms:modified>
</cp:coreProperties>
</file>

<file path=docProps/custom.xml><?xml version="1.0" encoding="utf-8"?>
<Properties xmlns="http://schemas.openxmlformats.org/officeDocument/2006/custom-properties" xmlns:vt="http://schemas.openxmlformats.org/officeDocument/2006/docPropsVTypes"/>
</file>